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0F3E" w14:textId="6F2434D9" w:rsidR="00F3601A" w:rsidRPr="00AF758C" w:rsidRDefault="00E06657" w:rsidP="00AF758C">
      <w:pPr>
        <w:pBdr>
          <w:bottom w:val="single" w:sz="4" w:space="1" w:color="auto"/>
        </w:pBdr>
        <w:spacing w:before="120" w:after="240"/>
        <w:jc w:val="center"/>
        <w:rPr>
          <w:rFonts w:ascii="Cambria" w:hAnsi="Cambria"/>
          <w:sz w:val="44"/>
          <w:szCs w:val="44"/>
          <w:lang w:val="en-US"/>
        </w:rPr>
      </w:pPr>
      <w:r>
        <w:rPr>
          <w:rFonts w:ascii="Cambria" w:hAnsi="Cambria"/>
          <w:sz w:val="44"/>
          <w:szCs w:val="44"/>
          <w:lang w:val="en-US"/>
        </w:rPr>
        <w:t>INTERNATIONAL HEALTH LAW</w:t>
      </w:r>
    </w:p>
    <w:p w14:paraId="13A67D97" w14:textId="77777777" w:rsidR="00702C06" w:rsidRPr="00F3601A" w:rsidRDefault="00702C06" w:rsidP="00E32641">
      <w:pPr>
        <w:rPr>
          <w:rFonts w:ascii="Cambria" w:hAnsi="Cambria"/>
          <w:b/>
          <w:bCs/>
        </w:rPr>
      </w:pPr>
      <w:r w:rsidRPr="00F3601A">
        <w:rPr>
          <w:rFonts w:ascii="Cambria" w:hAnsi="Cambria"/>
          <w:b/>
          <w:bCs/>
        </w:rPr>
        <w:t>Course informations :</w:t>
      </w:r>
    </w:p>
    <w:p w14:paraId="752CC8F1" w14:textId="77777777" w:rsidR="00702C06" w:rsidRPr="00F3601A" w:rsidRDefault="00702C06" w:rsidP="00E32641">
      <w:pPr>
        <w:rPr>
          <w:rFonts w:ascii="Cambria" w:hAnsi="Cambria"/>
          <w:sz w:val="22"/>
          <w:szCs w:val="22"/>
        </w:rPr>
      </w:pPr>
    </w:p>
    <w:tbl>
      <w:tblPr>
        <w:tblStyle w:val="Grilledutableau"/>
        <w:tblW w:w="0" w:type="auto"/>
        <w:tblLook w:val="04A0" w:firstRow="1" w:lastRow="0" w:firstColumn="1" w:lastColumn="0" w:noHBand="0" w:noVBand="1"/>
      </w:tblPr>
      <w:tblGrid>
        <w:gridCol w:w="2263"/>
        <w:gridCol w:w="6799"/>
      </w:tblGrid>
      <w:tr w:rsidR="00F3601A" w:rsidRPr="00E51BA8" w14:paraId="1C3DC590" w14:textId="77777777" w:rsidTr="00F3601A">
        <w:tc>
          <w:tcPr>
            <w:tcW w:w="2263" w:type="dxa"/>
          </w:tcPr>
          <w:p w14:paraId="5225C381" w14:textId="77777777" w:rsidR="00F3601A" w:rsidRPr="00F3601A" w:rsidRDefault="00F3601A" w:rsidP="00E32641">
            <w:pPr>
              <w:rPr>
                <w:rFonts w:ascii="Cambria" w:hAnsi="Cambria" w:cs="Arial"/>
              </w:rPr>
            </w:pPr>
            <w:r w:rsidRPr="00F3601A">
              <w:rPr>
                <w:rFonts w:ascii="Cambria" w:hAnsi="Cambria" w:cs="Arial"/>
              </w:rPr>
              <w:t>Degree level</w:t>
            </w:r>
          </w:p>
        </w:tc>
        <w:tc>
          <w:tcPr>
            <w:tcW w:w="6799" w:type="dxa"/>
          </w:tcPr>
          <w:p w14:paraId="203468E7" w14:textId="77777777" w:rsidR="001039DA" w:rsidRDefault="00F3601A" w:rsidP="00E32641">
            <w:pPr>
              <w:pStyle w:val="Paragraphedeliste"/>
              <w:numPr>
                <w:ilvl w:val="0"/>
                <w:numId w:val="7"/>
              </w:numPr>
              <w:rPr>
                <w:rFonts w:ascii="Cambria" w:hAnsi="Cambria" w:cs="Arial"/>
              </w:rPr>
            </w:pPr>
            <w:r w:rsidRPr="001039DA">
              <w:rPr>
                <w:rFonts w:ascii="Cambria" w:hAnsi="Cambria" w:cs="Arial"/>
              </w:rPr>
              <w:t xml:space="preserve">DU LLM International Law </w:t>
            </w:r>
          </w:p>
          <w:p w14:paraId="0DCA12BE" w14:textId="5B4A1840" w:rsidR="00F3601A" w:rsidRPr="001039DA" w:rsidRDefault="00F3601A" w:rsidP="00E32641">
            <w:pPr>
              <w:pStyle w:val="Paragraphedeliste"/>
              <w:numPr>
                <w:ilvl w:val="0"/>
                <w:numId w:val="7"/>
              </w:numPr>
              <w:rPr>
                <w:rFonts w:ascii="Cambria" w:hAnsi="Cambria" w:cs="Arial"/>
              </w:rPr>
            </w:pPr>
            <w:r w:rsidRPr="001039DA">
              <w:rPr>
                <w:rFonts w:ascii="Cambria" w:hAnsi="Cambria" w:cs="Arial"/>
              </w:rPr>
              <w:t xml:space="preserve">Master </w:t>
            </w:r>
            <w:r w:rsidR="00E06657">
              <w:rPr>
                <w:rFonts w:ascii="Cambria" w:hAnsi="Cambria" w:cs="Arial"/>
              </w:rPr>
              <w:t>1</w:t>
            </w:r>
            <w:r w:rsidRPr="001039DA">
              <w:rPr>
                <w:rFonts w:ascii="Cambria" w:hAnsi="Cambria" w:cs="Arial"/>
              </w:rPr>
              <w:t xml:space="preserve"> Droit international </w:t>
            </w:r>
            <w:proofErr w:type="spellStart"/>
            <w:r w:rsidRPr="001039DA">
              <w:rPr>
                <w:rFonts w:ascii="Cambria" w:hAnsi="Cambria" w:cs="Arial"/>
              </w:rPr>
              <w:t>g</w:t>
            </w:r>
            <w:r w:rsidR="00E51BA8" w:rsidRPr="001039DA">
              <w:rPr>
                <w:rFonts w:ascii="Cambria" w:hAnsi="Cambria" w:cs="Arial"/>
              </w:rPr>
              <w:t>é</w:t>
            </w:r>
            <w:r w:rsidRPr="001039DA">
              <w:rPr>
                <w:rFonts w:ascii="Cambria" w:hAnsi="Cambria" w:cs="Arial"/>
              </w:rPr>
              <w:t>n</w:t>
            </w:r>
            <w:r w:rsidR="00E51BA8" w:rsidRPr="001039DA">
              <w:rPr>
                <w:rFonts w:ascii="Cambria" w:hAnsi="Cambria" w:cs="Arial"/>
              </w:rPr>
              <w:t>é</w:t>
            </w:r>
            <w:r w:rsidRPr="001039DA">
              <w:rPr>
                <w:rFonts w:ascii="Cambria" w:hAnsi="Cambria" w:cs="Arial"/>
              </w:rPr>
              <w:t>ral</w:t>
            </w:r>
            <w:proofErr w:type="spellEnd"/>
          </w:p>
        </w:tc>
      </w:tr>
      <w:tr w:rsidR="00F3601A" w:rsidRPr="00F3601A" w14:paraId="1C60C4DC" w14:textId="77777777" w:rsidTr="00F3601A">
        <w:tc>
          <w:tcPr>
            <w:tcW w:w="2263" w:type="dxa"/>
          </w:tcPr>
          <w:p w14:paraId="08D0E42E" w14:textId="77777777" w:rsidR="00F3601A" w:rsidRPr="00F3601A" w:rsidRDefault="00F3601A" w:rsidP="00E32641">
            <w:pPr>
              <w:rPr>
                <w:rFonts w:ascii="Cambria" w:hAnsi="Cambria" w:cs="Arial"/>
              </w:rPr>
            </w:pPr>
            <w:r w:rsidRPr="00F3601A">
              <w:rPr>
                <w:rFonts w:ascii="Cambria" w:hAnsi="Cambria" w:cs="Arial"/>
              </w:rPr>
              <w:t>Semester</w:t>
            </w:r>
          </w:p>
        </w:tc>
        <w:tc>
          <w:tcPr>
            <w:tcW w:w="6799" w:type="dxa"/>
          </w:tcPr>
          <w:p w14:paraId="50CE7B65" w14:textId="5B0C4A1E" w:rsidR="00F3601A" w:rsidRPr="00F3601A" w:rsidRDefault="00E06657" w:rsidP="00E32641">
            <w:pPr>
              <w:rPr>
                <w:rFonts w:ascii="Cambria" w:hAnsi="Cambria" w:cs="Arial"/>
              </w:rPr>
            </w:pPr>
            <w:r>
              <w:rPr>
                <w:rFonts w:ascii="Cambria" w:hAnsi="Cambria" w:cs="Arial"/>
              </w:rPr>
              <w:t>1</w:t>
            </w:r>
          </w:p>
        </w:tc>
      </w:tr>
      <w:tr w:rsidR="00F3601A" w:rsidRPr="00F3601A" w14:paraId="05ECB9CC" w14:textId="77777777" w:rsidTr="00F3601A">
        <w:tc>
          <w:tcPr>
            <w:tcW w:w="2263" w:type="dxa"/>
          </w:tcPr>
          <w:p w14:paraId="476CE65E" w14:textId="77777777" w:rsidR="00F3601A" w:rsidRPr="00F3601A" w:rsidRDefault="00F3601A" w:rsidP="00E32641">
            <w:pPr>
              <w:rPr>
                <w:rFonts w:ascii="Cambria" w:hAnsi="Cambria" w:cs="Arial"/>
              </w:rPr>
            </w:pPr>
            <w:r w:rsidRPr="00F3601A">
              <w:rPr>
                <w:rFonts w:ascii="Cambria" w:hAnsi="Cambria" w:cs="Arial"/>
              </w:rPr>
              <w:t>Course duration</w:t>
            </w:r>
          </w:p>
        </w:tc>
        <w:tc>
          <w:tcPr>
            <w:tcW w:w="6799" w:type="dxa"/>
          </w:tcPr>
          <w:p w14:paraId="37CE71B3" w14:textId="3CA440B6" w:rsidR="00F3601A" w:rsidRPr="00F3601A" w:rsidRDefault="00E51BA8" w:rsidP="00E32641">
            <w:pPr>
              <w:rPr>
                <w:rFonts w:ascii="Cambria" w:hAnsi="Cambria" w:cs="Arial"/>
              </w:rPr>
            </w:pPr>
            <w:r>
              <w:rPr>
                <w:rFonts w:ascii="Cambria" w:hAnsi="Cambria" w:cs="Arial"/>
              </w:rPr>
              <w:t xml:space="preserve">20 </w:t>
            </w:r>
            <w:r w:rsidR="00F3601A" w:rsidRPr="00F3601A">
              <w:rPr>
                <w:rFonts w:ascii="Cambria" w:hAnsi="Cambria" w:cs="Arial"/>
              </w:rPr>
              <w:t>h</w:t>
            </w:r>
          </w:p>
        </w:tc>
      </w:tr>
      <w:tr w:rsidR="00F3601A" w:rsidRPr="00F3601A" w14:paraId="7BAFFCBB" w14:textId="77777777" w:rsidTr="00F3601A">
        <w:tc>
          <w:tcPr>
            <w:tcW w:w="2263" w:type="dxa"/>
          </w:tcPr>
          <w:p w14:paraId="65A06B73" w14:textId="77777777" w:rsidR="00F3601A" w:rsidRPr="00F3601A" w:rsidRDefault="00F3601A" w:rsidP="00E32641">
            <w:pPr>
              <w:rPr>
                <w:rFonts w:ascii="Cambria" w:hAnsi="Cambria" w:cs="Arial"/>
              </w:rPr>
            </w:pPr>
            <w:r w:rsidRPr="00F3601A">
              <w:rPr>
                <w:rFonts w:ascii="Cambria" w:hAnsi="Cambria" w:cs="Arial"/>
              </w:rPr>
              <w:t>ECTS delivered upon completion </w:t>
            </w:r>
          </w:p>
        </w:tc>
        <w:tc>
          <w:tcPr>
            <w:tcW w:w="6799" w:type="dxa"/>
          </w:tcPr>
          <w:p w14:paraId="5646F849" w14:textId="4A6F6589" w:rsidR="00F3601A" w:rsidRPr="00F3601A" w:rsidRDefault="00E51BA8" w:rsidP="00E32641">
            <w:pPr>
              <w:rPr>
                <w:rFonts w:ascii="Cambria" w:hAnsi="Cambria" w:cs="Arial"/>
              </w:rPr>
            </w:pPr>
            <w:r>
              <w:rPr>
                <w:rFonts w:ascii="Cambria" w:hAnsi="Cambria" w:cs="Arial"/>
              </w:rPr>
              <w:t>7</w:t>
            </w:r>
          </w:p>
        </w:tc>
      </w:tr>
    </w:tbl>
    <w:p w14:paraId="297F8793" w14:textId="77777777" w:rsidR="00F3601A" w:rsidRPr="00F3601A" w:rsidRDefault="00F3601A" w:rsidP="00E32641">
      <w:pPr>
        <w:rPr>
          <w:rFonts w:ascii="Cambria" w:hAnsi="Cambria"/>
          <w:sz w:val="22"/>
          <w:szCs w:val="22"/>
          <w:lang w:val="en-US"/>
        </w:rPr>
      </w:pPr>
    </w:p>
    <w:p w14:paraId="1C80CCC6" w14:textId="77777777" w:rsidR="00F3601A" w:rsidRPr="00F3601A" w:rsidRDefault="00F3601A" w:rsidP="00E32641">
      <w:pPr>
        <w:rPr>
          <w:rFonts w:ascii="Cambria" w:hAnsi="Cambria"/>
          <w:b/>
          <w:bCs/>
          <w:lang w:val="en-US"/>
        </w:rPr>
      </w:pPr>
      <w:r w:rsidRPr="00F3601A">
        <w:rPr>
          <w:rFonts w:ascii="Cambria" w:hAnsi="Cambria"/>
          <w:b/>
          <w:bCs/>
          <w:lang w:val="en-US"/>
        </w:rPr>
        <w:t>Instructor information:</w:t>
      </w:r>
    </w:p>
    <w:p w14:paraId="143C8E84" w14:textId="77777777" w:rsidR="00F3601A" w:rsidRPr="00F3601A" w:rsidRDefault="00F3601A" w:rsidP="00E32641">
      <w:pPr>
        <w:rPr>
          <w:rFonts w:ascii="Cambria" w:hAnsi="Cambria"/>
          <w:sz w:val="22"/>
          <w:szCs w:val="22"/>
          <w:lang w:val="en-US"/>
        </w:rPr>
      </w:pPr>
    </w:p>
    <w:tbl>
      <w:tblPr>
        <w:tblStyle w:val="Grilledutableau"/>
        <w:tblW w:w="0" w:type="auto"/>
        <w:tblLook w:val="04A0" w:firstRow="1" w:lastRow="0" w:firstColumn="1" w:lastColumn="0" w:noHBand="0" w:noVBand="1"/>
      </w:tblPr>
      <w:tblGrid>
        <w:gridCol w:w="2263"/>
        <w:gridCol w:w="6799"/>
      </w:tblGrid>
      <w:tr w:rsidR="00F3601A" w:rsidRPr="00F3601A" w14:paraId="5B80C856" w14:textId="77777777" w:rsidTr="00F3601A">
        <w:tc>
          <w:tcPr>
            <w:tcW w:w="2263" w:type="dxa"/>
          </w:tcPr>
          <w:p w14:paraId="72341579" w14:textId="77777777" w:rsidR="00F3601A" w:rsidRPr="00F3601A" w:rsidRDefault="00F3601A" w:rsidP="00E32641">
            <w:pPr>
              <w:rPr>
                <w:rFonts w:ascii="Cambria" w:hAnsi="Cambria"/>
              </w:rPr>
            </w:pPr>
            <w:r w:rsidRPr="00F3601A">
              <w:rPr>
                <w:rFonts w:ascii="Cambria" w:hAnsi="Cambria"/>
              </w:rPr>
              <w:t>Name</w:t>
            </w:r>
          </w:p>
        </w:tc>
        <w:tc>
          <w:tcPr>
            <w:tcW w:w="6799" w:type="dxa"/>
          </w:tcPr>
          <w:p w14:paraId="5328B3A6" w14:textId="64176572" w:rsidR="00F3601A" w:rsidRPr="00F3601A" w:rsidRDefault="00E06657" w:rsidP="00E32641">
            <w:pPr>
              <w:rPr>
                <w:rFonts w:ascii="Cambria" w:hAnsi="Cambria"/>
              </w:rPr>
            </w:pPr>
            <w:r>
              <w:rPr>
                <w:rFonts w:ascii="Cambria" w:hAnsi="Cambria"/>
              </w:rPr>
              <w:t>Sarah Cassella</w:t>
            </w:r>
          </w:p>
        </w:tc>
      </w:tr>
      <w:tr w:rsidR="00F3601A" w:rsidRPr="00F3601A" w14:paraId="60B2FCDD" w14:textId="77777777" w:rsidTr="00F3601A">
        <w:tc>
          <w:tcPr>
            <w:tcW w:w="2263" w:type="dxa"/>
          </w:tcPr>
          <w:p w14:paraId="76926DB2" w14:textId="77777777" w:rsidR="00F3601A" w:rsidRPr="00F3601A" w:rsidRDefault="00F3601A" w:rsidP="00E32641">
            <w:pPr>
              <w:rPr>
                <w:rFonts w:ascii="Cambria" w:hAnsi="Cambria"/>
              </w:rPr>
            </w:pPr>
            <w:r w:rsidRPr="00F3601A">
              <w:rPr>
                <w:rFonts w:ascii="Cambria" w:hAnsi="Cambria"/>
              </w:rPr>
              <w:t>Status</w:t>
            </w:r>
          </w:p>
        </w:tc>
        <w:tc>
          <w:tcPr>
            <w:tcW w:w="6799" w:type="dxa"/>
          </w:tcPr>
          <w:p w14:paraId="6A87396D" w14:textId="51D704DD" w:rsidR="00F3601A" w:rsidRPr="00F3601A" w:rsidRDefault="00E06657" w:rsidP="00E32641">
            <w:pPr>
              <w:rPr>
                <w:rFonts w:ascii="Cambria" w:hAnsi="Cambria"/>
                <w:lang w:val="fr-FR"/>
              </w:rPr>
            </w:pPr>
            <w:r>
              <w:rPr>
                <w:rFonts w:ascii="Cambria" w:hAnsi="Cambria"/>
                <w:lang w:val="fr-FR"/>
              </w:rPr>
              <w:t xml:space="preserve">Professor of Public </w:t>
            </w:r>
            <w:proofErr w:type="spellStart"/>
            <w:r>
              <w:rPr>
                <w:rFonts w:ascii="Cambria" w:hAnsi="Cambria"/>
                <w:lang w:val="fr-FR"/>
              </w:rPr>
              <w:t>law</w:t>
            </w:r>
            <w:proofErr w:type="spellEnd"/>
          </w:p>
        </w:tc>
      </w:tr>
      <w:tr w:rsidR="00F3601A" w:rsidRPr="00F3601A" w14:paraId="37A153E4" w14:textId="77777777" w:rsidTr="00F3601A">
        <w:tc>
          <w:tcPr>
            <w:tcW w:w="2263" w:type="dxa"/>
          </w:tcPr>
          <w:p w14:paraId="4D9B8433" w14:textId="77777777" w:rsidR="00F3601A" w:rsidRPr="00F3601A" w:rsidRDefault="00F3601A" w:rsidP="00E32641">
            <w:pPr>
              <w:rPr>
                <w:rFonts w:ascii="Cambria" w:hAnsi="Cambria"/>
              </w:rPr>
            </w:pPr>
            <w:r w:rsidRPr="00F3601A">
              <w:rPr>
                <w:rFonts w:ascii="Cambria" w:hAnsi="Cambria"/>
              </w:rPr>
              <w:t>Institution</w:t>
            </w:r>
          </w:p>
        </w:tc>
        <w:tc>
          <w:tcPr>
            <w:tcW w:w="6799" w:type="dxa"/>
          </w:tcPr>
          <w:p w14:paraId="622B712A" w14:textId="654D0212" w:rsidR="00F3601A" w:rsidRPr="00F3601A" w:rsidRDefault="00E06657" w:rsidP="00E32641">
            <w:pPr>
              <w:rPr>
                <w:rFonts w:ascii="Cambria" w:hAnsi="Cambria"/>
              </w:rPr>
            </w:pPr>
            <w:r>
              <w:rPr>
                <w:rFonts w:ascii="Cambria" w:hAnsi="Cambria"/>
              </w:rPr>
              <w:t xml:space="preserve">Université Paris </w:t>
            </w:r>
            <w:proofErr w:type="spellStart"/>
            <w:r>
              <w:rPr>
                <w:rFonts w:ascii="Cambria" w:hAnsi="Cambria"/>
              </w:rPr>
              <w:t>Cité</w:t>
            </w:r>
            <w:proofErr w:type="spellEnd"/>
          </w:p>
        </w:tc>
      </w:tr>
      <w:tr w:rsidR="00F3601A" w:rsidRPr="001039DA" w14:paraId="2183098A" w14:textId="77777777" w:rsidTr="00F3601A">
        <w:tc>
          <w:tcPr>
            <w:tcW w:w="2263" w:type="dxa"/>
          </w:tcPr>
          <w:p w14:paraId="431C206E" w14:textId="77777777" w:rsidR="00F3601A" w:rsidRPr="00F3601A" w:rsidRDefault="00F3601A" w:rsidP="00E32641">
            <w:pPr>
              <w:rPr>
                <w:rFonts w:ascii="Cambria" w:hAnsi="Cambria"/>
              </w:rPr>
            </w:pPr>
            <w:r w:rsidRPr="00F3601A">
              <w:rPr>
                <w:rFonts w:ascii="Cambria" w:hAnsi="Cambria"/>
              </w:rPr>
              <w:t>Email</w:t>
            </w:r>
          </w:p>
        </w:tc>
        <w:tc>
          <w:tcPr>
            <w:tcW w:w="6799" w:type="dxa"/>
          </w:tcPr>
          <w:p w14:paraId="2914E432" w14:textId="5FB08436" w:rsidR="00F3601A" w:rsidRPr="00F3601A" w:rsidRDefault="00E06657" w:rsidP="00E32641">
            <w:pPr>
              <w:rPr>
                <w:rFonts w:ascii="Cambria" w:hAnsi="Cambria"/>
              </w:rPr>
            </w:pPr>
            <w:r>
              <w:rPr>
                <w:rFonts w:ascii="Cambria" w:hAnsi="Cambria"/>
              </w:rPr>
              <w:t>sarah.cassella@u-paris.fr</w:t>
            </w:r>
          </w:p>
        </w:tc>
      </w:tr>
    </w:tbl>
    <w:p w14:paraId="3B11AF87" w14:textId="77777777" w:rsidR="00702C06" w:rsidRPr="00F3601A" w:rsidRDefault="00702C06" w:rsidP="00E32641">
      <w:pPr>
        <w:rPr>
          <w:rFonts w:ascii="Cambria" w:hAnsi="Cambria"/>
          <w:sz w:val="22"/>
          <w:szCs w:val="22"/>
          <w:lang w:val="en-US"/>
        </w:rPr>
      </w:pPr>
    </w:p>
    <w:p w14:paraId="308790F5" w14:textId="77777777" w:rsidR="00E32641" w:rsidRPr="00F3601A" w:rsidRDefault="00A56EFE" w:rsidP="00A56EFE">
      <w:pPr>
        <w:jc w:val="both"/>
        <w:rPr>
          <w:rFonts w:ascii="Cambria" w:hAnsi="Cambria" w:cstheme="majorHAnsi"/>
          <w:b/>
          <w:bCs/>
          <w:lang w:val="en-US"/>
        </w:rPr>
      </w:pPr>
      <w:r w:rsidRPr="00F3601A">
        <w:rPr>
          <w:rFonts w:ascii="Cambria" w:hAnsi="Cambria" w:cstheme="majorHAnsi"/>
          <w:b/>
          <w:bCs/>
          <w:lang w:val="en-US"/>
        </w:rPr>
        <w:t>Course</w:t>
      </w:r>
      <w:r w:rsidR="00E32641" w:rsidRPr="00F3601A">
        <w:rPr>
          <w:rFonts w:ascii="Cambria" w:hAnsi="Cambria" w:cstheme="majorHAnsi"/>
          <w:b/>
          <w:bCs/>
          <w:lang w:val="en-US"/>
        </w:rPr>
        <w:t xml:space="preserve"> </w:t>
      </w:r>
      <w:proofErr w:type="gramStart"/>
      <w:r w:rsidR="00E32641" w:rsidRPr="00F3601A">
        <w:rPr>
          <w:rFonts w:ascii="Cambria" w:hAnsi="Cambria" w:cstheme="majorHAnsi"/>
          <w:b/>
          <w:bCs/>
          <w:lang w:val="en-US"/>
        </w:rPr>
        <w:t>description</w:t>
      </w:r>
      <w:r w:rsidR="00A742D6" w:rsidRPr="00F3601A">
        <w:rPr>
          <w:rFonts w:ascii="Cambria" w:hAnsi="Cambria" w:cstheme="majorHAnsi"/>
          <w:b/>
          <w:bCs/>
          <w:lang w:val="en-US"/>
        </w:rPr>
        <w:t> :</w:t>
      </w:r>
      <w:proofErr w:type="gramEnd"/>
    </w:p>
    <w:p w14:paraId="5DA21F9A" w14:textId="76C7EC6B" w:rsidR="00E32641" w:rsidRPr="00C66B7C" w:rsidRDefault="002F7060" w:rsidP="00A56EFE">
      <w:pPr>
        <w:jc w:val="both"/>
        <w:rPr>
          <w:rFonts w:ascii="Cambria" w:hAnsi="Cambria" w:cstheme="majorHAnsi"/>
          <w:sz w:val="22"/>
          <w:szCs w:val="22"/>
          <w:lang w:val="en-US"/>
        </w:rPr>
      </w:pPr>
      <w:r w:rsidRPr="00C66B7C">
        <w:rPr>
          <w:rFonts w:ascii="Cambria" w:hAnsi="Cambria" w:cstheme="majorHAnsi"/>
          <w:sz w:val="22"/>
          <w:szCs w:val="22"/>
          <w:lang w:val="en-US"/>
        </w:rPr>
        <w:t xml:space="preserve">The course is run in a hybrid mode, with some participants being at the faculty, others assisting online and still others watching the recordings. The professor will nevertheless propose before each session documents (on the Moodle page of the course) that must be read by all in order to fully benefit from the course and will encourage exchanges </w:t>
      </w:r>
      <w:r w:rsidR="008C0A16">
        <w:rPr>
          <w:rFonts w:ascii="Cambria" w:hAnsi="Cambria" w:cstheme="majorHAnsi"/>
          <w:sz w:val="22"/>
          <w:szCs w:val="22"/>
          <w:lang w:val="en-US"/>
        </w:rPr>
        <w:t xml:space="preserve">and discussion </w:t>
      </w:r>
      <w:r w:rsidRPr="00C66B7C">
        <w:rPr>
          <w:rFonts w:ascii="Cambria" w:hAnsi="Cambria" w:cstheme="majorHAnsi"/>
          <w:sz w:val="22"/>
          <w:szCs w:val="22"/>
          <w:lang w:val="en-US"/>
        </w:rPr>
        <w:t xml:space="preserve">as much as possible. </w:t>
      </w:r>
    </w:p>
    <w:p w14:paraId="124B03D8" w14:textId="77777777" w:rsidR="00AF758C" w:rsidRPr="00F3601A" w:rsidRDefault="00AF758C" w:rsidP="00A56EFE">
      <w:pPr>
        <w:jc w:val="both"/>
        <w:rPr>
          <w:rFonts w:ascii="Cambria" w:eastAsia="Times New Roman" w:hAnsi="Cambria" w:cstheme="majorHAnsi"/>
          <w:color w:val="000000" w:themeColor="text1"/>
          <w:sz w:val="22"/>
          <w:szCs w:val="22"/>
          <w:lang w:val="en-US"/>
        </w:rPr>
      </w:pPr>
    </w:p>
    <w:p w14:paraId="22BB9EE2" w14:textId="259484B3" w:rsidR="00E32641" w:rsidRPr="00702C06" w:rsidRDefault="00E32641" w:rsidP="00AF758C">
      <w:pPr>
        <w:rPr>
          <w:rFonts w:ascii="Cambria" w:eastAsia="Times New Roman" w:hAnsi="Cambria" w:cstheme="majorHAnsi"/>
          <w:b/>
          <w:bCs/>
          <w:color w:val="000000" w:themeColor="text1"/>
          <w:lang w:val="en-US"/>
        </w:rPr>
      </w:pPr>
      <w:r w:rsidRPr="00702C06">
        <w:rPr>
          <w:rFonts w:ascii="Cambria" w:eastAsia="Times New Roman" w:hAnsi="Cambria" w:cstheme="majorHAnsi"/>
          <w:b/>
          <w:bCs/>
          <w:color w:val="000000" w:themeColor="text1"/>
          <w:lang w:val="en-US"/>
        </w:rPr>
        <w:t>Course learning outcomes</w:t>
      </w:r>
      <w:r w:rsidR="00A742D6" w:rsidRPr="00702C06">
        <w:rPr>
          <w:rFonts w:ascii="Cambria" w:eastAsia="Times New Roman" w:hAnsi="Cambria" w:cstheme="majorHAnsi"/>
          <w:b/>
          <w:bCs/>
          <w:color w:val="000000" w:themeColor="text1"/>
          <w:lang w:val="en-US"/>
        </w:rPr>
        <w:t>:</w:t>
      </w:r>
    </w:p>
    <w:p w14:paraId="12CB0A2A" w14:textId="77777777" w:rsidR="00E32641" w:rsidRPr="00F3601A" w:rsidRDefault="00E32641" w:rsidP="00A56EFE">
      <w:pPr>
        <w:jc w:val="both"/>
        <w:rPr>
          <w:rFonts w:ascii="Cambria" w:eastAsia="Times New Roman" w:hAnsi="Cambria" w:cstheme="majorHAnsi"/>
          <w:color w:val="000000" w:themeColor="text1"/>
          <w:sz w:val="22"/>
          <w:szCs w:val="22"/>
          <w:lang w:val="en-US"/>
        </w:rPr>
      </w:pPr>
    </w:p>
    <w:p w14:paraId="12519A5E" w14:textId="4131B225" w:rsidR="00E32641" w:rsidRDefault="008A66B8" w:rsidP="00E06657">
      <w:pPr>
        <w:ind w:right="-20"/>
        <w:jc w:val="both"/>
        <w:rPr>
          <w:rFonts w:ascii="Cambria" w:eastAsia="Times New Roman" w:hAnsi="Cambria" w:cstheme="majorHAnsi"/>
          <w:color w:val="000000" w:themeColor="text1"/>
          <w:w w:val="106"/>
          <w:sz w:val="22"/>
          <w:szCs w:val="22"/>
          <w:lang w:val="en-US"/>
        </w:rPr>
      </w:pPr>
      <w:r w:rsidRPr="008A66B8">
        <w:rPr>
          <w:rFonts w:ascii="Cambria" w:eastAsia="Times New Roman" w:hAnsi="Cambria" w:cstheme="majorHAnsi"/>
          <w:color w:val="000000" w:themeColor="text1"/>
          <w:w w:val="106"/>
          <w:sz w:val="22"/>
          <w:szCs w:val="22"/>
          <w:lang w:val="en-US"/>
        </w:rPr>
        <w:t>The objective of this course is to acquire a general knowledge of the highly fragmented legal regime of international health law, which is complementary to national and regional legal regimes. This requires that participants have a high level of knowledge of international law and of its main branches. The main skills acquired through this course are an understanding of the history of the emergence of health as an international issue as well as current developments; the main logics of the integration of the issue of health into the legal regimes of international law; a good understanding of the rules and mechanisms specifically devoted to the protection of health.</w:t>
      </w:r>
    </w:p>
    <w:p w14:paraId="36CE7BE0" w14:textId="77777777" w:rsidR="00880993" w:rsidRPr="00A56EFE" w:rsidRDefault="00880993" w:rsidP="00A56EFE">
      <w:pPr>
        <w:spacing w:before="100" w:beforeAutospacing="1" w:after="100" w:afterAutospacing="1"/>
        <w:jc w:val="both"/>
        <w:rPr>
          <w:rFonts w:ascii="Cambria" w:hAnsi="Cambria" w:cstheme="majorHAnsi"/>
          <w:b/>
          <w:bCs/>
          <w:color w:val="000000" w:themeColor="text1"/>
          <w:lang w:val="en-US"/>
        </w:rPr>
      </w:pPr>
      <w:r w:rsidRPr="00A56EFE">
        <w:rPr>
          <w:rFonts w:ascii="Cambria" w:hAnsi="Cambria" w:cstheme="majorHAnsi"/>
          <w:b/>
          <w:bCs/>
          <w:color w:val="000000" w:themeColor="text1"/>
          <w:lang w:val="en-US"/>
        </w:rPr>
        <w:t xml:space="preserve">Student evaluation </w:t>
      </w:r>
      <w:r w:rsidR="00A742D6" w:rsidRPr="00A56EFE">
        <w:rPr>
          <w:rFonts w:ascii="Cambria" w:hAnsi="Cambria" w:cstheme="majorHAnsi"/>
          <w:b/>
          <w:bCs/>
          <w:color w:val="000000" w:themeColor="text1"/>
          <w:lang w:val="en-US"/>
        </w:rPr>
        <w:t>plan:</w:t>
      </w:r>
    </w:p>
    <w:p w14:paraId="2A73175E" w14:textId="77777777" w:rsidR="001A4E28" w:rsidRDefault="00A56EFE" w:rsidP="00A56EFE">
      <w:pPr>
        <w:jc w:val="both"/>
        <w:rPr>
          <w:rFonts w:ascii="Cambria" w:hAnsi="Cambria" w:cstheme="majorHAnsi"/>
          <w:color w:val="000000" w:themeColor="text1"/>
          <w:sz w:val="22"/>
          <w:szCs w:val="22"/>
          <w:lang w:val="en-US"/>
        </w:rPr>
      </w:pPr>
      <w:r w:rsidRPr="00F3601A">
        <w:rPr>
          <w:rFonts w:ascii="Cambria" w:hAnsi="Cambria" w:cstheme="majorHAnsi"/>
          <w:color w:val="000000" w:themeColor="text1"/>
          <w:sz w:val="22"/>
          <w:szCs w:val="22"/>
          <w:lang w:val="en-US"/>
        </w:rPr>
        <w:t>The evaluation will be based upon oral participation and on a final exam as described hereafter in the course schedule.</w:t>
      </w:r>
    </w:p>
    <w:p w14:paraId="23704155" w14:textId="32439D6D" w:rsidR="0053242B" w:rsidRPr="00F3601A" w:rsidRDefault="0053242B" w:rsidP="00A56EFE">
      <w:pPr>
        <w:jc w:val="both"/>
        <w:rPr>
          <w:rFonts w:ascii="Cambria" w:hAnsi="Cambria" w:cstheme="majorHAnsi"/>
          <w:color w:val="000000" w:themeColor="text1"/>
          <w:sz w:val="22"/>
          <w:szCs w:val="22"/>
          <w:lang w:val="en-US"/>
        </w:rPr>
      </w:pPr>
      <w:r w:rsidRPr="0053242B">
        <w:rPr>
          <w:rFonts w:ascii="Cambria" w:hAnsi="Cambria" w:cstheme="majorHAnsi"/>
          <w:color w:val="000000" w:themeColor="text1"/>
          <w:sz w:val="22"/>
          <w:szCs w:val="22"/>
          <w:lang w:val="en-US"/>
        </w:rPr>
        <w:t>The final grade will be based on a mock negotiation exercise organized in the last session (the modalities will be adapted only for participants who would have a full exemption from participation). For students who take the course live (at the faculty or online), active participation as well as attendance will be taken into account in the marking.</w:t>
      </w:r>
    </w:p>
    <w:p w14:paraId="3F2FC277" w14:textId="77777777" w:rsidR="00E15576" w:rsidRDefault="00E15576" w:rsidP="00A56EFE">
      <w:pPr>
        <w:spacing w:before="100" w:beforeAutospacing="1" w:after="100" w:afterAutospacing="1"/>
        <w:jc w:val="both"/>
        <w:rPr>
          <w:rFonts w:ascii="Cambria" w:hAnsi="Cambria" w:cstheme="majorHAnsi"/>
          <w:b/>
          <w:bCs/>
          <w:color w:val="000000" w:themeColor="text1"/>
        </w:rPr>
      </w:pPr>
    </w:p>
    <w:p w14:paraId="1E7879C4" w14:textId="77777777" w:rsidR="00E15576" w:rsidRDefault="00E15576" w:rsidP="00A56EFE">
      <w:pPr>
        <w:spacing w:before="100" w:beforeAutospacing="1" w:after="100" w:afterAutospacing="1"/>
        <w:jc w:val="both"/>
        <w:rPr>
          <w:rFonts w:ascii="Cambria" w:hAnsi="Cambria" w:cstheme="majorHAnsi"/>
          <w:b/>
          <w:bCs/>
          <w:color w:val="000000" w:themeColor="text1"/>
        </w:rPr>
      </w:pPr>
    </w:p>
    <w:p w14:paraId="4E3B17A9" w14:textId="77777777" w:rsidR="00675E3A" w:rsidRDefault="00675E3A" w:rsidP="00A56EFE">
      <w:pPr>
        <w:spacing w:before="100" w:beforeAutospacing="1" w:after="100" w:afterAutospacing="1"/>
        <w:jc w:val="both"/>
        <w:rPr>
          <w:rFonts w:ascii="Cambria" w:hAnsi="Cambria" w:cstheme="majorHAnsi"/>
          <w:b/>
          <w:bCs/>
          <w:color w:val="000000" w:themeColor="text1"/>
        </w:rPr>
      </w:pPr>
    </w:p>
    <w:p w14:paraId="1C544692" w14:textId="66FB355D" w:rsidR="00880993" w:rsidRPr="001A4E28" w:rsidRDefault="00A56EFE" w:rsidP="00A56EFE">
      <w:pPr>
        <w:spacing w:before="100" w:beforeAutospacing="1" w:after="100" w:afterAutospacing="1"/>
        <w:jc w:val="both"/>
        <w:rPr>
          <w:b/>
          <w:bCs/>
          <w:color w:val="000000" w:themeColor="text1"/>
        </w:rPr>
      </w:pPr>
      <w:r w:rsidRPr="00A56EFE">
        <w:rPr>
          <w:rFonts w:ascii="Cambria" w:hAnsi="Cambria" w:cstheme="majorHAnsi"/>
          <w:b/>
          <w:bCs/>
          <w:color w:val="000000" w:themeColor="text1"/>
        </w:rPr>
        <w:lastRenderedPageBreak/>
        <w:t>Course</w:t>
      </w:r>
      <w:r w:rsidR="00880993" w:rsidRPr="00A56EFE">
        <w:rPr>
          <w:rFonts w:ascii="Cambria" w:hAnsi="Cambria" w:cstheme="majorHAnsi"/>
          <w:b/>
          <w:bCs/>
          <w:color w:val="000000" w:themeColor="text1"/>
        </w:rPr>
        <w:t xml:space="preserve"> </w:t>
      </w:r>
      <w:proofErr w:type="spellStart"/>
      <w:r w:rsidR="00880993" w:rsidRPr="00A56EFE">
        <w:rPr>
          <w:rFonts w:ascii="Cambria" w:hAnsi="Cambria" w:cstheme="majorHAnsi"/>
          <w:b/>
          <w:bCs/>
          <w:color w:val="000000" w:themeColor="text1"/>
        </w:rPr>
        <w:t>schedule</w:t>
      </w:r>
      <w:proofErr w:type="spellEnd"/>
      <w:r w:rsidR="00880993" w:rsidRPr="001A4E28">
        <w:rPr>
          <w:b/>
          <w:bCs/>
          <w:color w:val="000000" w:themeColor="text1"/>
        </w:rPr>
        <w:t> :</w:t>
      </w:r>
    </w:p>
    <w:tbl>
      <w:tblPr>
        <w:tblStyle w:val="Grilledutableau"/>
        <w:tblW w:w="0" w:type="auto"/>
        <w:tblLook w:val="04A0" w:firstRow="1" w:lastRow="0" w:firstColumn="1" w:lastColumn="0" w:noHBand="0" w:noVBand="1"/>
      </w:tblPr>
      <w:tblGrid>
        <w:gridCol w:w="1929"/>
        <w:gridCol w:w="1327"/>
        <w:gridCol w:w="4394"/>
      </w:tblGrid>
      <w:tr w:rsidR="00E15576" w:rsidRPr="001A4E28" w14:paraId="66E18CB2" w14:textId="77777777" w:rsidTr="00630E21">
        <w:tc>
          <w:tcPr>
            <w:tcW w:w="1929" w:type="dxa"/>
          </w:tcPr>
          <w:p w14:paraId="68240536" w14:textId="77777777" w:rsidR="00E15576" w:rsidRDefault="00E15576" w:rsidP="00702C06">
            <w:pPr>
              <w:spacing w:before="100" w:beforeAutospacing="1" w:after="100" w:afterAutospacing="1"/>
              <w:jc w:val="center"/>
              <w:rPr>
                <w:color w:val="000000" w:themeColor="text1"/>
              </w:rPr>
            </w:pPr>
            <w:r>
              <w:rPr>
                <w:color w:val="000000" w:themeColor="text1"/>
              </w:rPr>
              <w:t>Date</w:t>
            </w:r>
          </w:p>
          <w:p w14:paraId="48E8CEF8" w14:textId="1DBAA6A5" w:rsidR="00E15576" w:rsidRDefault="00E15576" w:rsidP="00702C06">
            <w:pPr>
              <w:spacing w:before="100" w:beforeAutospacing="1" w:after="100" w:afterAutospacing="1"/>
              <w:jc w:val="center"/>
              <w:rPr>
                <w:color w:val="000000" w:themeColor="text1"/>
              </w:rPr>
            </w:pPr>
          </w:p>
        </w:tc>
        <w:tc>
          <w:tcPr>
            <w:tcW w:w="1327" w:type="dxa"/>
          </w:tcPr>
          <w:p w14:paraId="2658DE95" w14:textId="77777777" w:rsidR="00E15576" w:rsidRDefault="00E15576" w:rsidP="00702C06">
            <w:pPr>
              <w:spacing w:before="100" w:beforeAutospacing="1" w:after="100" w:afterAutospacing="1"/>
              <w:jc w:val="center"/>
              <w:rPr>
                <w:color w:val="000000" w:themeColor="text1"/>
              </w:rPr>
            </w:pPr>
            <w:r>
              <w:rPr>
                <w:color w:val="000000" w:themeColor="text1"/>
              </w:rPr>
              <w:t>Session</w:t>
            </w:r>
          </w:p>
        </w:tc>
        <w:tc>
          <w:tcPr>
            <w:tcW w:w="4394" w:type="dxa"/>
          </w:tcPr>
          <w:p w14:paraId="3A5FAF7B" w14:textId="77777777" w:rsidR="00E15576" w:rsidRDefault="00E15576" w:rsidP="00702C06">
            <w:pPr>
              <w:spacing w:before="100" w:beforeAutospacing="1" w:after="100" w:afterAutospacing="1"/>
              <w:jc w:val="center"/>
              <w:rPr>
                <w:color w:val="000000" w:themeColor="text1"/>
              </w:rPr>
            </w:pPr>
            <w:r>
              <w:rPr>
                <w:color w:val="000000" w:themeColor="text1"/>
              </w:rPr>
              <w:t>Topic</w:t>
            </w:r>
          </w:p>
        </w:tc>
      </w:tr>
      <w:tr w:rsidR="00E15576" w:rsidRPr="001039DA" w14:paraId="2E966973" w14:textId="77777777" w:rsidTr="00630E21">
        <w:tc>
          <w:tcPr>
            <w:tcW w:w="1929" w:type="dxa"/>
          </w:tcPr>
          <w:p w14:paraId="75DF6F76" w14:textId="0C01F655" w:rsidR="00E15576" w:rsidRDefault="00E15576" w:rsidP="00880993">
            <w:pPr>
              <w:spacing w:before="100" w:beforeAutospacing="1" w:after="100" w:afterAutospacing="1"/>
              <w:jc w:val="both"/>
              <w:rPr>
                <w:color w:val="000000" w:themeColor="text1"/>
              </w:rPr>
            </w:pPr>
            <w:r>
              <w:rPr>
                <w:color w:val="000000" w:themeColor="text1"/>
              </w:rPr>
              <w:t>6 November 2023</w:t>
            </w:r>
          </w:p>
        </w:tc>
        <w:tc>
          <w:tcPr>
            <w:tcW w:w="1327" w:type="dxa"/>
          </w:tcPr>
          <w:p w14:paraId="17C40A2A" w14:textId="1EB9C0FE" w:rsidR="00E15576" w:rsidRDefault="00E15576" w:rsidP="00880993">
            <w:pPr>
              <w:spacing w:before="100" w:beforeAutospacing="1" w:after="100" w:afterAutospacing="1"/>
              <w:jc w:val="both"/>
              <w:rPr>
                <w:color w:val="000000" w:themeColor="text1"/>
              </w:rPr>
            </w:pPr>
            <w:r>
              <w:rPr>
                <w:color w:val="000000" w:themeColor="text1"/>
              </w:rPr>
              <w:t>11 am-1 pm</w:t>
            </w:r>
          </w:p>
        </w:tc>
        <w:tc>
          <w:tcPr>
            <w:tcW w:w="4394" w:type="dxa"/>
          </w:tcPr>
          <w:p w14:paraId="56C6B051" w14:textId="10A0E0F3" w:rsidR="00E15576" w:rsidRDefault="00E15576" w:rsidP="00880993">
            <w:pPr>
              <w:spacing w:before="100" w:beforeAutospacing="1" w:after="100" w:afterAutospacing="1"/>
              <w:jc w:val="both"/>
              <w:rPr>
                <w:color w:val="000000" w:themeColor="text1"/>
              </w:rPr>
            </w:pPr>
            <w:r>
              <w:rPr>
                <w:color w:val="000000" w:themeColor="text1"/>
              </w:rPr>
              <w:t>Introduction</w:t>
            </w:r>
          </w:p>
        </w:tc>
      </w:tr>
      <w:tr w:rsidR="00E15576" w:rsidRPr="001039DA" w14:paraId="00BF5581" w14:textId="77777777" w:rsidTr="00630E21">
        <w:tc>
          <w:tcPr>
            <w:tcW w:w="1929" w:type="dxa"/>
          </w:tcPr>
          <w:p w14:paraId="17D52F12" w14:textId="2CBEAE50" w:rsidR="00E15576" w:rsidRDefault="00E15576" w:rsidP="00624899">
            <w:pPr>
              <w:spacing w:before="100" w:beforeAutospacing="1" w:after="100" w:afterAutospacing="1"/>
              <w:jc w:val="both"/>
              <w:rPr>
                <w:color w:val="000000" w:themeColor="text1"/>
              </w:rPr>
            </w:pPr>
            <w:r>
              <w:rPr>
                <w:color w:val="000000" w:themeColor="text1"/>
              </w:rPr>
              <w:t>14 November 2023</w:t>
            </w:r>
          </w:p>
        </w:tc>
        <w:tc>
          <w:tcPr>
            <w:tcW w:w="1327" w:type="dxa"/>
          </w:tcPr>
          <w:p w14:paraId="687B7A23" w14:textId="0F1EE6AF" w:rsidR="00E15576" w:rsidRDefault="00E15576" w:rsidP="00624899">
            <w:pPr>
              <w:spacing w:before="100" w:beforeAutospacing="1" w:after="100" w:afterAutospacing="1"/>
              <w:jc w:val="both"/>
              <w:rPr>
                <w:color w:val="000000" w:themeColor="text1"/>
              </w:rPr>
            </w:pPr>
            <w:r>
              <w:rPr>
                <w:color w:val="000000" w:themeColor="text1"/>
              </w:rPr>
              <w:t>11 am-2 pm</w:t>
            </w:r>
          </w:p>
        </w:tc>
        <w:tc>
          <w:tcPr>
            <w:tcW w:w="4394" w:type="dxa"/>
          </w:tcPr>
          <w:p w14:paraId="64097E2F" w14:textId="0A99C2CA" w:rsidR="00E15576" w:rsidRDefault="00E15576" w:rsidP="00624899">
            <w:pPr>
              <w:spacing w:before="100" w:beforeAutospacing="1" w:after="100" w:afterAutospacing="1"/>
              <w:jc w:val="both"/>
              <w:rPr>
                <w:color w:val="000000" w:themeColor="text1"/>
              </w:rPr>
            </w:pPr>
            <w:r>
              <w:rPr>
                <w:color w:val="000000" w:themeColor="text1"/>
              </w:rPr>
              <w:t>Health governance</w:t>
            </w:r>
          </w:p>
        </w:tc>
      </w:tr>
      <w:tr w:rsidR="00E15576" w:rsidRPr="001039DA" w14:paraId="7034935B" w14:textId="77777777" w:rsidTr="00630E21">
        <w:tc>
          <w:tcPr>
            <w:tcW w:w="1929" w:type="dxa"/>
          </w:tcPr>
          <w:p w14:paraId="5B5828EF" w14:textId="2CFFFE65" w:rsidR="00E15576" w:rsidRDefault="005C137A" w:rsidP="00880993">
            <w:pPr>
              <w:spacing w:before="100" w:beforeAutospacing="1" w:after="100" w:afterAutospacing="1"/>
              <w:jc w:val="both"/>
              <w:rPr>
                <w:color w:val="000000" w:themeColor="text1"/>
              </w:rPr>
            </w:pPr>
            <w:r>
              <w:rPr>
                <w:color w:val="000000" w:themeColor="text1"/>
              </w:rPr>
              <w:t>21 November 2023</w:t>
            </w:r>
          </w:p>
        </w:tc>
        <w:tc>
          <w:tcPr>
            <w:tcW w:w="1327" w:type="dxa"/>
          </w:tcPr>
          <w:p w14:paraId="60272F97" w14:textId="6CC7120B" w:rsidR="00E15576" w:rsidRDefault="005C137A" w:rsidP="00880993">
            <w:pPr>
              <w:spacing w:before="100" w:beforeAutospacing="1" w:after="100" w:afterAutospacing="1"/>
              <w:jc w:val="both"/>
              <w:rPr>
                <w:color w:val="000000" w:themeColor="text1"/>
              </w:rPr>
            </w:pPr>
            <w:r>
              <w:rPr>
                <w:color w:val="000000" w:themeColor="text1"/>
              </w:rPr>
              <w:t>11 am-2 pm</w:t>
            </w:r>
          </w:p>
        </w:tc>
        <w:tc>
          <w:tcPr>
            <w:tcW w:w="4394" w:type="dxa"/>
          </w:tcPr>
          <w:p w14:paraId="5A599ABB" w14:textId="3B3DD6BD" w:rsidR="00E15576" w:rsidRPr="00B05B24" w:rsidRDefault="005C137A" w:rsidP="00880993">
            <w:pPr>
              <w:spacing w:before="100" w:beforeAutospacing="1" w:after="100" w:afterAutospacing="1"/>
              <w:jc w:val="both"/>
              <w:rPr>
                <w:rFonts w:cstheme="minorHAnsi"/>
                <w:color w:val="000000" w:themeColor="text1"/>
              </w:rPr>
            </w:pPr>
            <w:r>
              <w:rPr>
                <w:rFonts w:cstheme="minorHAnsi"/>
                <w:color w:val="000000" w:themeColor="text1"/>
              </w:rPr>
              <w:t>WHO and WOAH law</w:t>
            </w:r>
          </w:p>
        </w:tc>
      </w:tr>
      <w:tr w:rsidR="00E15576" w:rsidRPr="001039DA" w14:paraId="5C2606AE" w14:textId="77777777" w:rsidTr="00630E21">
        <w:tc>
          <w:tcPr>
            <w:tcW w:w="1929" w:type="dxa"/>
          </w:tcPr>
          <w:p w14:paraId="2C05FD3A" w14:textId="568260BF" w:rsidR="00E15576" w:rsidRDefault="005C137A" w:rsidP="00880993">
            <w:pPr>
              <w:spacing w:before="100" w:beforeAutospacing="1" w:after="100" w:afterAutospacing="1"/>
              <w:jc w:val="both"/>
              <w:rPr>
                <w:color w:val="000000" w:themeColor="text1"/>
              </w:rPr>
            </w:pPr>
            <w:r>
              <w:rPr>
                <w:color w:val="000000" w:themeColor="text1"/>
              </w:rPr>
              <w:t>28 November 2023</w:t>
            </w:r>
          </w:p>
        </w:tc>
        <w:tc>
          <w:tcPr>
            <w:tcW w:w="1327" w:type="dxa"/>
          </w:tcPr>
          <w:p w14:paraId="7CD05496" w14:textId="5C434605" w:rsidR="00E15576" w:rsidRDefault="005C137A" w:rsidP="00880993">
            <w:pPr>
              <w:spacing w:before="100" w:beforeAutospacing="1" w:after="100" w:afterAutospacing="1"/>
              <w:jc w:val="both"/>
              <w:rPr>
                <w:color w:val="000000" w:themeColor="text1"/>
              </w:rPr>
            </w:pPr>
            <w:r>
              <w:rPr>
                <w:color w:val="000000" w:themeColor="text1"/>
              </w:rPr>
              <w:t>11 am-2 pm</w:t>
            </w:r>
          </w:p>
        </w:tc>
        <w:tc>
          <w:tcPr>
            <w:tcW w:w="4394" w:type="dxa"/>
          </w:tcPr>
          <w:p w14:paraId="5F49F95F" w14:textId="4A20F784" w:rsidR="00E15576" w:rsidRDefault="00630E21" w:rsidP="00880993">
            <w:pPr>
              <w:spacing w:before="100" w:beforeAutospacing="1" w:after="100" w:afterAutospacing="1"/>
              <w:jc w:val="both"/>
              <w:rPr>
                <w:color w:val="000000" w:themeColor="text1"/>
              </w:rPr>
            </w:pPr>
            <w:r>
              <w:rPr>
                <w:color w:val="000000" w:themeColor="text1"/>
              </w:rPr>
              <w:t>Health and human rights</w:t>
            </w:r>
          </w:p>
        </w:tc>
      </w:tr>
      <w:tr w:rsidR="00E15576" w:rsidRPr="001039DA" w14:paraId="24CD59B4" w14:textId="77777777" w:rsidTr="00630E21">
        <w:tc>
          <w:tcPr>
            <w:tcW w:w="1929" w:type="dxa"/>
          </w:tcPr>
          <w:p w14:paraId="6D29C451" w14:textId="401B18FE" w:rsidR="00E15576" w:rsidRDefault="00630E21" w:rsidP="00624899">
            <w:pPr>
              <w:spacing w:before="100" w:beforeAutospacing="1" w:after="100" w:afterAutospacing="1"/>
              <w:jc w:val="both"/>
              <w:rPr>
                <w:color w:val="000000" w:themeColor="text1"/>
              </w:rPr>
            </w:pPr>
            <w:r>
              <w:rPr>
                <w:color w:val="000000" w:themeColor="text1"/>
              </w:rPr>
              <w:t>5 December 2023</w:t>
            </w:r>
          </w:p>
        </w:tc>
        <w:tc>
          <w:tcPr>
            <w:tcW w:w="1327" w:type="dxa"/>
          </w:tcPr>
          <w:p w14:paraId="765D5A8C" w14:textId="74F14D6B" w:rsidR="00E15576" w:rsidRDefault="00630E21" w:rsidP="00624899">
            <w:pPr>
              <w:spacing w:before="100" w:beforeAutospacing="1" w:after="100" w:afterAutospacing="1"/>
              <w:jc w:val="both"/>
              <w:rPr>
                <w:color w:val="000000" w:themeColor="text1"/>
              </w:rPr>
            </w:pPr>
            <w:r>
              <w:rPr>
                <w:color w:val="000000" w:themeColor="text1"/>
              </w:rPr>
              <w:t>11 am-2 pm</w:t>
            </w:r>
          </w:p>
        </w:tc>
        <w:tc>
          <w:tcPr>
            <w:tcW w:w="4394" w:type="dxa"/>
          </w:tcPr>
          <w:p w14:paraId="7667A843" w14:textId="7F325121" w:rsidR="00E15576" w:rsidRPr="00230B60" w:rsidRDefault="00630E21" w:rsidP="00624899">
            <w:pPr>
              <w:spacing w:before="100" w:beforeAutospacing="1" w:after="100" w:afterAutospacing="1"/>
              <w:jc w:val="both"/>
              <w:rPr>
                <w:rFonts w:cstheme="minorHAnsi"/>
                <w:color w:val="000000" w:themeColor="text1"/>
              </w:rPr>
            </w:pPr>
            <w:r>
              <w:rPr>
                <w:rFonts w:cstheme="minorHAnsi"/>
                <w:color w:val="000000" w:themeColor="text1"/>
              </w:rPr>
              <w:t>Health and international economic law</w:t>
            </w:r>
          </w:p>
        </w:tc>
      </w:tr>
      <w:tr w:rsidR="00630E21" w:rsidRPr="001039DA" w14:paraId="6488C323" w14:textId="77777777" w:rsidTr="00630E21">
        <w:tc>
          <w:tcPr>
            <w:tcW w:w="1929" w:type="dxa"/>
          </w:tcPr>
          <w:p w14:paraId="00D9EB68" w14:textId="31402A15" w:rsidR="00630E21" w:rsidRDefault="00630E21" w:rsidP="00624899">
            <w:pPr>
              <w:spacing w:before="100" w:beforeAutospacing="1" w:after="100" w:afterAutospacing="1"/>
              <w:jc w:val="both"/>
              <w:rPr>
                <w:color w:val="000000" w:themeColor="text1"/>
              </w:rPr>
            </w:pPr>
            <w:r>
              <w:rPr>
                <w:color w:val="000000" w:themeColor="text1"/>
              </w:rPr>
              <w:t>12 December 2023</w:t>
            </w:r>
          </w:p>
        </w:tc>
        <w:tc>
          <w:tcPr>
            <w:tcW w:w="1327" w:type="dxa"/>
          </w:tcPr>
          <w:p w14:paraId="43289DFE" w14:textId="63D30408" w:rsidR="00630E21" w:rsidRDefault="00630E21" w:rsidP="00624899">
            <w:pPr>
              <w:spacing w:before="100" w:beforeAutospacing="1" w:after="100" w:afterAutospacing="1"/>
              <w:jc w:val="both"/>
              <w:rPr>
                <w:color w:val="000000" w:themeColor="text1"/>
              </w:rPr>
            </w:pPr>
            <w:r>
              <w:rPr>
                <w:color w:val="000000" w:themeColor="text1"/>
              </w:rPr>
              <w:t>11 am-2 pm</w:t>
            </w:r>
          </w:p>
        </w:tc>
        <w:tc>
          <w:tcPr>
            <w:tcW w:w="4394" w:type="dxa"/>
          </w:tcPr>
          <w:p w14:paraId="0841EF5F" w14:textId="0A27315C" w:rsidR="00630E21" w:rsidRDefault="00630E21" w:rsidP="00624899">
            <w:pPr>
              <w:spacing w:before="100" w:beforeAutospacing="1" w:after="100" w:afterAutospacing="1"/>
              <w:jc w:val="both"/>
              <w:rPr>
                <w:rFonts w:cstheme="minorHAnsi"/>
                <w:color w:val="000000" w:themeColor="text1"/>
              </w:rPr>
            </w:pPr>
            <w:r>
              <w:rPr>
                <w:rFonts w:cstheme="minorHAnsi"/>
                <w:color w:val="000000" w:themeColor="text1"/>
              </w:rPr>
              <w:t>Health and international environmental law</w:t>
            </w:r>
          </w:p>
        </w:tc>
      </w:tr>
      <w:tr w:rsidR="00630E21" w:rsidRPr="001039DA" w14:paraId="14682EB1" w14:textId="77777777" w:rsidTr="00630E21">
        <w:tc>
          <w:tcPr>
            <w:tcW w:w="1929" w:type="dxa"/>
          </w:tcPr>
          <w:p w14:paraId="283C187A" w14:textId="0FA61BDC" w:rsidR="00630E21" w:rsidRDefault="00630E21" w:rsidP="00624899">
            <w:pPr>
              <w:spacing w:before="100" w:beforeAutospacing="1" w:after="100" w:afterAutospacing="1"/>
              <w:jc w:val="both"/>
              <w:rPr>
                <w:color w:val="000000" w:themeColor="text1"/>
              </w:rPr>
            </w:pPr>
            <w:r>
              <w:rPr>
                <w:color w:val="000000" w:themeColor="text1"/>
              </w:rPr>
              <w:t>9 January 2024</w:t>
            </w:r>
          </w:p>
        </w:tc>
        <w:tc>
          <w:tcPr>
            <w:tcW w:w="1327" w:type="dxa"/>
          </w:tcPr>
          <w:p w14:paraId="2483D85D" w14:textId="2D3D7E13" w:rsidR="00630E21" w:rsidRDefault="00630E21" w:rsidP="00624899">
            <w:pPr>
              <w:spacing w:before="100" w:beforeAutospacing="1" w:after="100" w:afterAutospacing="1"/>
              <w:jc w:val="both"/>
              <w:rPr>
                <w:color w:val="000000" w:themeColor="text1"/>
              </w:rPr>
            </w:pPr>
            <w:r>
              <w:rPr>
                <w:color w:val="000000" w:themeColor="text1"/>
              </w:rPr>
              <w:t>11 am-2 pm</w:t>
            </w:r>
          </w:p>
        </w:tc>
        <w:tc>
          <w:tcPr>
            <w:tcW w:w="4394" w:type="dxa"/>
          </w:tcPr>
          <w:p w14:paraId="71102BAB" w14:textId="52048995" w:rsidR="00630E21" w:rsidRDefault="00630E21" w:rsidP="00624899">
            <w:pPr>
              <w:spacing w:before="100" w:beforeAutospacing="1" w:after="100" w:afterAutospacing="1"/>
              <w:jc w:val="both"/>
              <w:rPr>
                <w:rFonts w:cstheme="minorHAnsi"/>
                <w:color w:val="000000" w:themeColor="text1"/>
              </w:rPr>
            </w:pPr>
            <w:r>
              <w:rPr>
                <w:rFonts w:cstheme="minorHAnsi"/>
                <w:color w:val="000000" w:themeColor="text1"/>
              </w:rPr>
              <w:t>Mock international negotiation</w:t>
            </w:r>
          </w:p>
        </w:tc>
      </w:tr>
    </w:tbl>
    <w:p w14:paraId="6BD0ED49" w14:textId="77777777" w:rsidR="00A742D6" w:rsidRDefault="00A742D6" w:rsidP="00A742D6">
      <w:pPr>
        <w:rPr>
          <w:lang w:val="en-US"/>
        </w:rPr>
      </w:pPr>
    </w:p>
    <w:p w14:paraId="766FD7F8" w14:textId="2609CDBB" w:rsidR="002F7060" w:rsidRPr="002F7060" w:rsidRDefault="0054604D" w:rsidP="00A742D6">
      <w:pPr>
        <w:rPr>
          <w:rFonts w:ascii="Cambria" w:hAnsi="Cambria"/>
          <w:b/>
          <w:bCs/>
          <w:u w:val="single"/>
          <w:lang w:val="en-US"/>
        </w:rPr>
      </w:pPr>
      <w:r>
        <w:rPr>
          <w:rFonts w:ascii="Cambria" w:hAnsi="Cambria"/>
          <w:b/>
          <w:bCs/>
          <w:u w:val="single"/>
          <w:lang w:val="en-US"/>
        </w:rPr>
        <w:t>Selected</w:t>
      </w:r>
      <w:r w:rsidR="002F7060" w:rsidRPr="002F7060">
        <w:rPr>
          <w:rFonts w:ascii="Cambria" w:hAnsi="Cambria"/>
          <w:b/>
          <w:bCs/>
          <w:u w:val="single"/>
          <w:lang w:val="en-US"/>
        </w:rPr>
        <w:t xml:space="preserve"> bibliography</w:t>
      </w:r>
    </w:p>
    <w:p w14:paraId="1CBE467C" w14:textId="2141DAB3" w:rsidR="00AF758C" w:rsidRDefault="00230B60" w:rsidP="00A742D6">
      <w:pPr>
        <w:rPr>
          <w:rFonts w:ascii="Cambria" w:hAnsi="Cambria"/>
          <w:b/>
          <w:bCs/>
          <w:lang w:val="en-US"/>
        </w:rPr>
      </w:pPr>
      <w:r>
        <w:rPr>
          <w:rFonts w:ascii="Cambria" w:hAnsi="Cambria"/>
          <w:b/>
          <w:bCs/>
          <w:lang w:val="en-US"/>
        </w:rPr>
        <w:t>Books</w:t>
      </w:r>
      <w:r w:rsidR="00A742D6" w:rsidRPr="00F3601A">
        <w:rPr>
          <w:rFonts w:ascii="Cambria" w:hAnsi="Cambria"/>
          <w:b/>
          <w:bCs/>
          <w:lang w:val="en-US"/>
        </w:rPr>
        <w:t>:</w:t>
      </w:r>
    </w:p>
    <w:p w14:paraId="2F59B864" w14:textId="77777777" w:rsidR="0054604D" w:rsidRPr="0054604D" w:rsidRDefault="0054604D" w:rsidP="0054604D">
      <w:pPr>
        <w:jc w:val="both"/>
        <w:rPr>
          <w:rFonts w:ascii="Cambria" w:hAnsi="Cambria"/>
          <w:lang w:val="en-US"/>
        </w:rPr>
      </w:pPr>
      <w:r w:rsidRPr="0054604D">
        <w:rPr>
          <w:rFonts w:ascii="Cambria" w:hAnsi="Cambria"/>
          <w:lang w:val="en-US"/>
        </w:rPr>
        <w:t xml:space="preserve">- G. L. BURCI and B. TOEBES, </w:t>
      </w:r>
      <w:r w:rsidRPr="0054604D">
        <w:rPr>
          <w:rFonts w:ascii="Cambria" w:hAnsi="Cambria"/>
          <w:i/>
          <w:iCs/>
          <w:lang w:val="en-US"/>
        </w:rPr>
        <w:t>Research handbook on global health law</w:t>
      </w:r>
      <w:r w:rsidRPr="0054604D">
        <w:rPr>
          <w:rFonts w:ascii="Cambria" w:hAnsi="Cambria"/>
          <w:lang w:val="en-US"/>
        </w:rPr>
        <w:t>, 2018, Edward Elgar Publishing;</w:t>
      </w:r>
    </w:p>
    <w:p w14:paraId="200398E4" w14:textId="67036649" w:rsidR="0054604D" w:rsidRPr="0054604D" w:rsidRDefault="0054604D" w:rsidP="0054604D">
      <w:pPr>
        <w:jc w:val="both"/>
        <w:rPr>
          <w:rFonts w:ascii="Cambria" w:hAnsi="Cambria"/>
          <w:lang w:val="en-US"/>
        </w:rPr>
      </w:pPr>
      <w:r w:rsidRPr="0054604D">
        <w:rPr>
          <w:rFonts w:ascii="Cambria" w:hAnsi="Cambria"/>
          <w:lang w:val="en-US"/>
        </w:rPr>
        <w:t xml:space="preserve">- L. CLARKE, </w:t>
      </w:r>
      <w:r w:rsidRPr="0054604D">
        <w:rPr>
          <w:rFonts w:ascii="Cambria" w:hAnsi="Cambria"/>
          <w:i/>
          <w:iCs/>
          <w:lang w:val="en-US"/>
        </w:rPr>
        <w:t>Public-private partnerships and responsibility under international law: a global health perspective</w:t>
      </w:r>
      <w:r w:rsidRPr="0054604D">
        <w:rPr>
          <w:rFonts w:ascii="Cambria" w:hAnsi="Cambria"/>
          <w:lang w:val="en-US"/>
        </w:rPr>
        <w:t>, 2014, Routledge;</w:t>
      </w:r>
    </w:p>
    <w:p w14:paraId="38FEBA89" w14:textId="450D1E06" w:rsidR="0054604D" w:rsidRDefault="0054604D" w:rsidP="0054604D">
      <w:pPr>
        <w:jc w:val="both"/>
        <w:rPr>
          <w:rFonts w:ascii="Cambria" w:hAnsi="Cambria"/>
          <w:lang w:val="en-US"/>
        </w:rPr>
      </w:pPr>
      <w:r w:rsidRPr="0054604D">
        <w:rPr>
          <w:rFonts w:ascii="Cambria" w:hAnsi="Cambria"/>
          <w:lang w:val="en-US"/>
        </w:rPr>
        <w:t>- L. O. GOSTIN, Global health</w:t>
      </w:r>
      <w:bookmarkStart w:id="0" w:name="_GoBack"/>
      <w:bookmarkEnd w:id="0"/>
      <w:r w:rsidRPr="0054604D">
        <w:rPr>
          <w:rFonts w:ascii="Cambria" w:hAnsi="Cambria"/>
          <w:lang w:val="en-US"/>
        </w:rPr>
        <w:t xml:space="preserve"> law, 2014, Harvard University Press</w:t>
      </w:r>
    </w:p>
    <w:p w14:paraId="64C74604" w14:textId="77777777" w:rsidR="000A3A49" w:rsidRPr="0054604D" w:rsidRDefault="000A3A49" w:rsidP="0054604D">
      <w:pPr>
        <w:jc w:val="both"/>
        <w:rPr>
          <w:rFonts w:ascii="Cambria" w:hAnsi="Cambria"/>
          <w:lang w:val="en-US"/>
        </w:rPr>
      </w:pPr>
    </w:p>
    <w:p w14:paraId="270D52AB" w14:textId="72E35EBC" w:rsidR="00880993" w:rsidRDefault="00A742D6" w:rsidP="00AF758C">
      <w:pPr>
        <w:rPr>
          <w:rFonts w:ascii="Cambria" w:hAnsi="Cambria"/>
          <w:lang w:val="en-US"/>
        </w:rPr>
      </w:pPr>
      <w:r w:rsidRPr="00F3601A">
        <w:rPr>
          <w:rFonts w:ascii="Cambria" w:hAnsi="Cambria"/>
          <w:b/>
          <w:bCs/>
          <w:lang w:val="en-US"/>
        </w:rPr>
        <w:t>Journal articles:</w:t>
      </w:r>
    </w:p>
    <w:p w14:paraId="600A9977" w14:textId="77777777" w:rsidR="000A3A49" w:rsidRPr="000A3A49" w:rsidRDefault="000A3A49" w:rsidP="000A3A49">
      <w:pPr>
        <w:rPr>
          <w:rFonts w:ascii="Cambria" w:hAnsi="Cambria"/>
          <w:lang w:val="en-US"/>
        </w:rPr>
      </w:pPr>
      <w:r w:rsidRPr="000A3A49">
        <w:rPr>
          <w:rFonts w:ascii="Cambria" w:hAnsi="Cambria"/>
          <w:lang w:val="en-US"/>
        </w:rPr>
        <w:t xml:space="preserve">- G. L. BURCI, “The Legal Response to Pandemics”, </w:t>
      </w:r>
      <w:r w:rsidRPr="000A3A49">
        <w:rPr>
          <w:rFonts w:ascii="Cambria" w:hAnsi="Cambria"/>
          <w:i/>
          <w:iCs/>
          <w:lang w:val="en-US"/>
        </w:rPr>
        <w:t>Journal of international humanitarian legal studies</w:t>
      </w:r>
      <w:r w:rsidRPr="000A3A49">
        <w:rPr>
          <w:rFonts w:ascii="Cambria" w:hAnsi="Cambria"/>
          <w:lang w:val="en-US"/>
        </w:rPr>
        <w:t>, 2020/1, p. 8;</w:t>
      </w:r>
    </w:p>
    <w:p w14:paraId="11AE6664" w14:textId="77777777" w:rsidR="000A3A49" w:rsidRPr="000A3A49" w:rsidRDefault="000A3A49" w:rsidP="000A3A49">
      <w:pPr>
        <w:rPr>
          <w:rFonts w:ascii="Cambria" w:hAnsi="Cambria"/>
          <w:lang w:val="en-US"/>
        </w:rPr>
      </w:pPr>
      <w:r w:rsidRPr="000A3A49">
        <w:rPr>
          <w:rFonts w:ascii="Cambria" w:hAnsi="Cambria"/>
          <w:lang w:val="en-US"/>
        </w:rPr>
        <w:t xml:space="preserve">- M. DAVISON and P. EMERTON, “The Treatment of Public Health Measures Affecting Intellectual Property Under Multilateral and Plurilateral Trade and Investment Agreements”, </w:t>
      </w:r>
      <w:r w:rsidRPr="000A3A49">
        <w:rPr>
          <w:rFonts w:ascii="Cambria" w:hAnsi="Cambria"/>
          <w:i/>
          <w:iCs/>
          <w:lang w:val="en-US"/>
        </w:rPr>
        <w:t>The journal of world investment &amp; trade</w:t>
      </w:r>
      <w:r w:rsidRPr="000A3A49">
        <w:rPr>
          <w:rFonts w:ascii="Cambria" w:hAnsi="Cambria"/>
          <w:lang w:val="en-US"/>
        </w:rPr>
        <w:t>, 2019/ 5, p. 759</w:t>
      </w:r>
    </w:p>
    <w:p w14:paraId="6A9ABCFA" w14:textId="0487E327" w:rsidR="000A3A49" w:rsidRPr="000A3A49" w:rsidRDefault="000A3A49" w:rsidP="000A3A49">
      <w:pPr>
        <w:rPr>
          <w:rFonts w:ascii="Cambria" w:hAnsi="Cambria"/>
          <w:lang w:val="en-US"/>
        </w:rPr>
      </w:pPr>
      <w:r w:rsidRPr="000A3A49">
        <w:rPr>
          <w:rFonts w:ascii="Cambria" w:hAnsi="Cambria"/>
          <w:lang w:val="en-US"/>
        </w:rPr>
        <w:t xml:space="preserve">- M. ECCLESTON-TURNER, S. MCARDLE and R. UPSHUR, “Inter-Institutional Relationships in Global Health: Regulating Coordination and Ensuring Accountability”, </w:t>
      </w:r>
      <w:r w:rsidRPr="000A3A49">
        <w:rPr>
          <w:rFonts w:ascii="Cambria" w:hAnsi="Cambria"/>
          <w:i/>
          <w:iCs/>
          <w:lang w:val="en-US"/>
        </w:rPr>
        <w:t>Global health governance</w:t>
      </w:r>
      <w:r w:rsidRPr="000A3A49">
        <w:rPr>
          <w:rFonts w:ascii="Cambria" w:hAnsi="Cambria"/>
          <w:lang w:val="en-US"/>
        </w:rPr>
        <w:t>, 2018, p. 83;</w:t>
      </w:r>
    </w:p>
    <w:p w14:paraId="4D50BAEE" w14:textId="6C221333" w:rsidR="000A3A49" w:rsidRPr="000A3A49" w:rsidRDefault="000A3A49" w:rsidP="000A3A49">
      <w:pPr>
        <w:rPr>
          <w:rFonts w:ascii="Cambria" w:hAnsi="Cambria"/>
          <w:lang w:val="en-US"/>
        </w:rPr>
      </w:pPr>
      <w:r w:rsidRPr="000A3A49">
        <w:rPr>
          <w:rFonts w:ascii="Cambria" w:hAnsi="Cambria"/>
          <w:lang w:val="en-US"/>
        </w:rPr>
        <w:t xml:space="preserve">- D.P. FIDLER, “International law and global public health”, </w:t>
      </w:r>
      <w:r w:rsidRPr="000A3A49">
        <w:rPr>
          <w:rFonts w:ascii="Cambria" w:hAnsi="Cambria"/>
          <w:i/>
          <w:iCs/>
          <w:lang w:val="en-US"/>
        </w:rPr>
        <w:t>University of Kansas Law Review</w:t>
      </w:r>
      <w:r w:rsidRPr="000A3A49">
        <w:rPr>
          <w:rFonts w:ascii="Cambria" w:hAnsi="Cambria"/>
          <w:lang w:val="en-US"/>
        </w:rPr>
        <w:t>, 1999, p. 1;</w:t>
      </w:r>
    </w:p>
    <w:p w14:paraId="2D201CD2" w14:textId="77777777" w:rsidR="000A3A49" w:rsidRPr="000A3A49" w:rsidRDefault="000A3A49" w:rsidP="000A3A49">
      <w:pPr>
        <w:rPr>
          <w:rFonts w:ascii="Cambria" w:hAnsi="Cambria"/>
          <w:lang w:val="en-US"/>
        </w:rPr>
      </w:pPr>
      <w:r w:rsidRPr="000A3A49">
        <w:rPr>
          <w:rFonts w:ascii="Cambria" w:hAnsi="Cambria"/>
          <w:lang w:val="en-US"/>
        </w:rPr>
        <w:t xml:space="preserve">- M. M. MBENGUE, “Public Health, International Cooperation”, </w:t>
      </w:r>
      <w:r w:rsidRPr="000A3A49">
        <w:rPr>
          <w:rFonts w:ascii="Cambria" w:hAnsi="Cambria"/>
          <w:i/>
          <w:iCs/>
          <w:lang w:val="en-US"/>
        </w:rPr>
        <w:t>Max Planck Encyclopedia of public international law</w:t>
      </w:r>
      <w:r w:rsidRPr="000A3A49">
        <w:rPr>
          <w:rFonts w:ascii="Cambria" w:hAnsi="Cambria"/>
          <w:lang w:val="en-US"/>
        </w:rPr>
        <w:t>, 2010;</w:t>
      </w:r>
    </w:p>
    <w:p w14:paraId="43FE6E65" w14:textId="72478908" w:rsidR="000A3A49" w:rsidRPr="000A3A49" w:rsidRDefault="000A3A49" w:rsidP="000A3A49">
      <w:pPr>
        <w:rPr>
          <w:rFonts w:ascii="Cambria" w:hAnsi="Cambria"/>
          <w:lang w:val="en-US"/>
        </w:rPr>
      </w:pPr>
      <w:r w:rsidRPr="000A3A49">
        <w:rPr>
          <w:rFonts w:ascii="Cambria" w:hAnsi="Cambria"/>
          <w:lang w:val="en-US"/>
        </w:rPr>
        <w:t xml:space="preserve">- A. TAYLOR, “Health”, in S. CHESTERMAN, D. M. MALONE and S. VILLALPANDO (eds), </w:t>
      </w:r>
      <w:r w:rsidRPr="000A3A49">
        <w:rPr>
          <w:rFonts w:ascii="Cambria" w:hAnsi="Cambria"/>
          <w:i/>
          <w:iCs/>
          <w:lang w:val="en-US"/>
        </w:rPr>
        <w:t>The Oxford Handbook of</w:t>
      </w:r>
      <w:r>
        <w:rPr>
          <w:rFonts w:ascii="Cambria" w:hAnsi="Cambria"/>
          <w:i/>
          <w:iCs/>
          <w:lang w:val="en-US"/>
        </w:rPr>
        <w:t xml:space="preserve"> </w:t>
      </w:r>
      <w:r w:rsidRPr="000A3A49">
        <w:rPr>
          <w:rFonts w:ascii="Cambria" w:hAnsi="Cambria"/>
          <w:i/>
          <w:iCs/>
          <w:lang w:val="en-US"/>
        </w:rPr>
        <w:t>United Nations Treaties</w:t>
      </w:r>
      <w:r w:rsidRPr="000A3A49">
        <w:rPr>
          <w:rFonts w:ascii="Cambria" w:hAnsi="Cambria"/>
          <w:lang w:val="en-US"/>
        </w:rPr>
        <w:t>, 2019, OUP, p. 339;</w:t>
      </w:r>
    </w:p>
    <w:p w14:paraId="6C1053CA" w14:textId="58907036" w:rsidR="000A3A49" w:rsidRDefault="000A3A49" w:rsidP="000A3A49">
      <w:pPr>
        <w:rPr>
          <w:rFonts w:ascii="Cambria" w:hAnsi="Cambria"/>
          <w:lang w:val="en-US"/>
        </w:rPr>
      </w:pPr>
      <w:r w:rsidRPr="000A3A49">
        <w:rPr>
          <w:rFonts w:ascii="Cambria" w:hAnsi="Cambria"/>
          <w:lang w:val="en-US"/>
        </w:rPr>
        <w:t xml:space="preserve">- P. A. VILLARREAL, “Public International Law and Human Health: Bridging Conceptual Gaps Through Governance”, </w:t>
      </w:r>
      <w:r w:rsidRPr="00393718">
        <w:rPr>
          <w:rFonts w:ascii="Cambria" w:hAnsi="Cambria"/>
          <w:i/>
          <w:iCs/>
          <w:lang w:val="en-US"/>
        </w:rPr>
        <w:t>German yearbook of international law</w:t>
      </w:r>
      <w:r w:rsidRPr="000A3A49">
        <w:rPr>
          <w:rFonts w:ascii="Cambria" w:hAnsi="Cambria"/>
          <w:lang w:val="en-US"/>
        </w:rPr>
        <w:t>, 2018, p. 45.</w:t>
      </w:r>
    </w:p>
    <w:p w14:paraId="4948AFAA" w14:textId="77777777" w:rsidR="000A3A49" w:rsidRDefault="000A3A49" w:rsidP="000A3A49">
      <w:pPr>
        <w:rPr>
          <w:rFonts w:ascii="Cambria" w:hAnsi="Cambria"/>
          <w:lang w:val="en-US"/>
        </w:rPr>
      </w:pPr>
    </w:p>
    <w:p w14:paraId="5A830C02" w14:textId="4756E704" w:rsidR="00AF758C" w:rsidRPr="00AF758C" w:rsidRDefault="00AF758C" w:rsidP="00AF758C">
      <w:pPr>
        <w:rPr>
          <w:rFonts w:ascii="Cambria" w:hAnsi="Cambria"/>
        </w:rPr>
      </w:pPr>
      <w:proofErr w:type="spellStart"/>
      <w:r w:rsidRPr="00AF758C">
        <w:rPr>
          <w:rFonts w:ascii="Cambria" w:hAnsi="Cambria"/>
          <w:b/>
          <w:bCs/>
        </w:rPr>
        <w:t>Supplement</w:t>
      </w:r>
      <w:proofErr w:type="spellEnd"/>
      <w:r w:rsidRPr="00AF758C">
        <w:rPr>
          <w:rFonts w:ascii="Cambria" w:hAnsi="Cambria"/>
          <w:b/>
          <w:bCs/>
        </w:rPr>
        <w:t xml:space="preserve"> </w:t>
      </w:r>
      <w:proofErr w:type="spellStart"/>
      <w:r w:rsidRPr="00AF758C">
        <w:rPr>
          <w:rFonts w:ascii="Cambria" w:hAnsi="Cambria"/>
          <w:b/>
          <w:bCs/>
        </w:rPr>
        <w:t>resources</w:t>
      </w:r>
      <w:proofErr w:type="spellEnd"/>
      <w:r w:rsidRPr="00AF758C">
        <w:rPr>
          <w:rFonts w:ascii="Cambria" w:hAnsi="Cambria"/>
          <w:b/>
          <w:bCs/>
        </w:rPr>
        <w:t xml:space="preserve">: </w:t>
      </w:r>
      <w:r w:rsidRPr="00AF758C">
        <w:rPr>
          <w:rFonts w:ascii="Cambria" w:hAnsi="Cambria"/>
        </w:rPr>
        <w:t xml:space="preserve">(institutions </w:t>
      </w:r>
      <w:proofErr w:type="spellStart"/>
      <w:r w:rsidRPr="00AF758C">
        <w:rPr>
          <w:rFonts w:ascii="Cambria" w:hAnsi="Cambria"/>
        </w:rPr>
        <w:t>websites</w:t>
      </w:r>
      <w:proofErr w:type="spellEnd"/>
      <w:r w:rsidRPr="00AF758C">
        <w:rPr>
          <w:rFonts w:ascii="Cambria" w:hAnsi="Cambria"/>
        </w:rPr>
        <w:t xml:space="preserve">, </w:t>
      </w:r>
      <w:proofErr w:type="spellStart"/>
      <w:r w:rsidRPr="00AF758C">
        <w:rPr>
          <w:rFonts w:ascii="Cambria" w:hAnsi="Cambria"/>
        </w:rPr>
        <w:t>maps</w:t>
      </w:r>
      <w:proofErr w:type="spellEnd"/>
      <w:r w:rsidRPr="00AF758C">
        <w:rPr>
          <w:rFonts w:ascii="Cambria" w:hAnsi="Cambria"/>
        </w:rPr>
        <w:t xml:space="preserve">, </w:t>
      </w:r>
      <w:proofErr w:type="spellStart"/>
      <w:r w:rsidRPr="00AF758C">
        <w:rPr>
          <w:rFonts w:ascii="Cambria" w:hAnsi="Cambria"/>
        </w:rPr>
        <w:t>et</w:t>
      </w:r>
      <w:r>
        <w:rPr>
          <w:rFonts w:ascii="Cambria" w:hAnsi="Cambria"/>
        </w:rPr>
        <w:t>c</w:t>
      </w:r>
      <w:proofErr w:type="spellEnd"/>
      <w:r>
        <w:rPr>
          <w:rFonts w:ascii="Cambria" w:hAnsi="Cambria"/>
        </w:rPr>
        <w:t>)</w:t>
      </w:r>
    </w:p>
    <w:sectPr w:rsidR="00AF758C" w:rsidRPr="00AF75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C35C" w14:textId="77777777" w:rsidR="002735A9" w:rsidRDefault="002735A9" w:rsidP="00E32641">
      <w:r>
        <w:separator/>
      </w:r>
    </w:p>
  </w:endnote>
  <w:endnote w:type="continuationSeparator" w:id="0">
    <w:p w14:paraId="6F12DB12" w14:textId="77777777" w:rsidR="002735A9" w:rsidRDefault="002735A9" w:rsidP="00E3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Al Bayan Plain">
    <w:altName w:val="AL BAYAN PLAIN"/>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AA52" w14:textId="77777777" w:rsidR="002735A9" w:rsidRDefault="002735A9" w:rsidP="00E32641">
      <w:r>
        <w:separator/>
      </w:r>
    </w:p>
  </w:footnote>
  <w:footnote w:type="continuationSeparator" w:id="0">
    <w:p w14:paraId="7A0CF69D" w14:textId="77777777" w:rsidR="002735A9" w:rsidRDefault="002735A9" w:rsidP="00E3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E192" w14:textId="07A4DFA7" w:rsidR="00E32641" w:rsidRPr="00065C1E" w:rsidRDefault="00DF7DE3" w:rsidP="00065C1E">
    <w:pPr>
      <w:rPr>
        <w:sz w:val="20"/>
        <w:szCs w:val="20"/>
      </w:rPr>
    </w:pPr>
    <w:r w:rsidRPr="00DF7DE3">
      <w:rPr>
        <w:rFonts w:ascii="Times New Roman" w:eastAsia="Times New Roman" w:hAnsi="Times New Roman" w:cs="Times New Roman"/>
        <w:noProof/>
        <w:lang w:eastAsia="fr-FR"/>
      </w:rPr>
      <w:drawing>
        <wp:inline distT="0" distB="0" distL="0" distR="0" wp14:anchorId="12560448" wp14:editId="18B5B812">
          <wp:extent cx="1673842" cy="638175"/>
          <wp:effectExtent l="0" t="0" r="3175" b="0"/>
          <wp:docPr id="2" name="Image 2" descr="S:\CENTRE DE RESSOURCES FP\Communication\U Paris Cité\Logo\UniversiteParisCite_logo_horizontal_couleur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TRE DE RESSOURCES FP\Communication\U Paris Cité\Logo\UniversiteParisCite_logo_horizontal_couleur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14" cy="645141"/>
                  </a:xfrm>
                  <a:prstGeom prst="rect">
                    <a:avLst/>
                  </a:prstGeom>
                  <a:noFill/>
                  <a:ln>
                    <a:noFill/>
                  </a:ln>
                </pic:spPr>
              </pic:pic>
            </a:graphicData>
          </a:graphic>
        </wp:inline>
      </w:drawing>
    </w:r>
    <w:r w:rsidR="00065C1E">
      <w:rPr>
        <w:rFonts w:ascii="Times New Roman" w:eastAsia="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02319402" wp14:editId="4307BDE9">
              <wp:simplePos x="0" y="0"/>
              <wp:positionH relativeFrom="column">
                <wp:posOffset>3680672</wp:posOffset>
              </wp:positionH>
              <wp:positionV relativeFrom="paragraph">
                <wp:posOffset>-43180</wp:posOffset>
              </wp:positionV>
              <wp:extent cx="2082588" cy="532553"/>
              <wp:effectExtent l="0" t="0" r="13335" b="13970"/>
              <wp:wrapNone/>
              <wp:docPr id="3" name="Zone de texte 3"/>
              <wp:cNvGraphicFramePr/>
              <a:graphic xmlns:a="http://schemas.openxmlformats.org/drawingml/2006/main">
                <a:graphicData uri="http://schemas.microsoft.com/office/word/2010/wordprocessingShape">
                  <wps:wsp>
                    <wps:cNvSpPr txBox="1"/>
                    <wps:spPr>
                      <a:xfrm>
                        <a:off x="0" y="0"/>
                        <a:ext cx="2082588" cy="532553"/>
                      </a:xfrm>
                      <a:prstGeom prst="rect">
                        <a:avLst/>
                      </a:prstGeom>
                      <a:solidFill>
                        <a:schemeClr val="lt1"/>
                      </a:solidFill>
                      <a:ln w="6350">
                        <a:solidFill>
                          <a:prstClr val="black"/>
                        </a:solidFill>
                      </a:ln>
                    </wps:spPr>
                    <wps:txbx>
                      <w:txbxContent>
                        <w:p w14:paraId="4BE0D7E1" w14:textId="77777777" w:rsidR="00065C1E" w:rsidRPr="00065C1E" w:rsidRDefault="00065C1E" w:rsidP="00065C1E">
                          <w:pPr>
                            <w:jc w:val="right"/>
                            <w:rPr>
                              <w:rFonts w:cs="Al Bayan Plain"/>
                              <w:sz w:val="18"/>
                              <w:szCs w:val="18"/>
                            </w:rPr>
                          </w:pPr>
                          <w:r w:rsidRPr="00065C1E">
                            <w:rPr>
                              <w:rFonts w:cs="Al Bayan Plain"/>
                              <w:sz w:val="18"/>
                              <w:szCs w:val="18"/>
                            </w:rPr>
                            <w:t>DU LLM International Law</w:t>
                          </w:r>
                        </w:p>
                        <w:p w14:paraId="61F10340" w14:textId="6AF2778E" w:rsidR="00065C1E" w:rsidRPr="00065C1E" w:rsidRDefault="00065C1E" w:rsidP="00065C1E">
                          <w:pPr>
                            <w:jc w:val="right"/>
                            <w:rPr>
                              <w:rFonts w:cs="Al Bayan Plain"/>
                              <w:sz w:val="18"/>
                              <w:szCs w:val="18"/>
                            </w:rPr>
                          </w:pPr>
                          <w:r w:rsidRPr="00065C1E">
                            <w:rPr>
                              <w:rFonts w:cs="Al Bayan Plain"/>
                              <w:sz w:val="18"/>
                              <w:szCs w:val="18"/>
                            </w:rPr>
                            <w:t>202</w:t>
                          </w:r>
                          <w:r w:rsidR="007F6B36">
                            <w:rPr>
                              <w:rFonts w:cs="Al Bayan Plain"/>
                              <w:sz w:val="18"/>
                              <w:szCs w:val="18"/>
                            </w:rPr>
                            <w:t>3</w:t>
                          </w:r>
                          <w:r w:rsidRPr="00065C1E">
                            <w:rPr>
                              <w:rFonts w:cs="Al Bayan Plain"/>
                              <w:sz w:val="18"/>
                              <w:szCs w:val="18"/>
                            </w:rPr>
                            <w:t>/202</w:t>
                          </w:r>
                          <w:r w:rsidR="007F6B36">
                            <w:rPr>
                              <w:rFonts w:cs="Al Bayan Plain"/>
                              <w:sz w:val="18"/>
                              <w:szCs w:val="18"/>
                            </w:rPr>
                            <w:t>4</w:t>
                          </w:r>
                        </w:p>
                        <w:p w14:paraId="7616AAA1" w14:textId="77777777" w:rsidR="00065C1E" w:rsidRPr="00065C1E" w:rsidRDefault="00065C1E">
                          <w:pPr>
                            <w:rPr>
                              <w:rFonts w:cs="Al Bayan Pla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319402" id="_x0000_t202" coordsize="21600,21600" o:spt="202" path="m,l,21600r21600,l21600,xe">
              <v:stroke joinstyle="miter"/>
              <v:path gradientshapeok="t" o:connecttype="rect"/>
            </v:shapetype>
            <v:shape id="Zone de texte 3" o:spid="_x0000_s1026" type="#_x0000_t202" style="position:absolute;margin-left:289.8pt;margin-top:-3.4pt;width:164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" fillcolor="white [3201]" strokeweight=".5pt">
              <v:textbox>
                <w:txbxContent>
                  <w:p w14:paraId="4BE0D7E1" w14:textId="77777777" w:rsidR="00065C1E" w:rsidRPr="00065C1E" w:rsidRDefault="00065C1E" w:rsidP="00065C1E">
                    <w:pPr>
                      <w:jc w:val="right"/>
                      <w:rPr>
                        <w:rFonts w:cs="Al Bayan Plain"/>
                        <w:sz w:val="18"/>
                        <w:szCs w:val="18"/>
                      </w:rPr>
                    </w:pPr>
                    <w:r w:rsidRPr="00065C1E">
                      <w:rPr>
                        <w:rFonts w:cs="Al Bayan Plain"/>
                        <w:sz w:val="18"/>
                        <w:szCs w:val="18"/>
                      </w:rPr>
                      <w:t>DU LLM International Law</w:t>
                    </w:r>
                  </w:p>
                  <w:p w14:paraId="61F10340" w14:textId="6AF2778E" w:rsidR="00065C1E" w:rsidRPr="00065C1E" w:rsidRDefault="00065C1E" w:rsidP="00065C1E">
                    <w:pPr>
                      <w:jc w:val="right"/>
                      <w:rPr>
                        <w:rFonts w:cs="Al Bayan Plain"/>
                        <w:sz w:val="18"/>
                        <w:szCs w:val="18"/>
                      </w:rPr>
                    </w:pPr>
                    <w:r w:rsidRPr="00065C1E">
                      <w:rPr>
                        <w:rFonts w:cs="Al Bayan Plain"/>
                        <w:sz w:val="18"/>
                        <w:szCs w:val="18"/>
                      </w:rPr>
                      <w:t>202</w:t>
                    </w:r>
                    <w:r w:rsidR="007F6B36">
                      <w:rPr>
                        <w:rFonts w:cs="Al Bayan Plain"/>
                        <w:sz w:val="18"/>
                        <w:szCs w:val="18"/>
                      </w:rPr>
                      <w:t>3</w:t>
                    </w:r>
                    <w:r w:rsidRPr="00065C1E">
                      <w:rPr>
                        <w:rFonts w:cs="Al Bayan Plain"/>
                        <w:sz w:val="18"/>
                        <w:szCs w:val="18"/>
                      </w:rPr>
                      <w:t>/202</w:t>
                    </w:r>
                    <w:r w:rsidR="007F6B36">
                      <w:rPr>
                        <w:rFonts w:cs="Al Bayan Plain"/>
                        <w:sz w:val="18"/>
                        <w:szCs w:val="18"/>
                      </w:rPr>
                      <w:t>4</w:t>
                    </w:r>
                  </w:p>
                  <w:p w14:paraId="7616AAA1" w14:textId="77777777" w:rsidR="00065C1E" w:rsidRPr="00065C1E" w:rsidRDefault="00065C1E">
                    <w:pPr>
                      <w:rPr>
                        <w:rFonts w:cs="Al Bayan Plain"/>
                      </w:rPr>
                    </w:pPr>
                  </w:p>
                </w:txbxContent>
              </v:textbox>
            </v:shape>
          </w:pict>
        </mc:Fallback>
      </mc:AlternateContent>
    </w:r>
    <w:r w:rsidR="00065C1E" w:rsidRPr="00065C1E">
      <w:rPr>
        <w:rFonts w:ascii="Times New Roman" w:eastAsia="Times New Roman" w:hAnsi="Times New Roman" w:cs="Times New Roman"/>
        <w:lang w:eastAsia="fr-FR"/>
      </w:rPr>
      <w:fldChar w:fldCharType="begin"/>
    </w:r>
    <w:r w:rsidR="00065C1E" w:rsidRPr="00065C1E">
      <w:rPr>
        <w:rFonts w:ascii="Times New Roman" w:eastAsia="Times New Roman" w:hAnsi="Times New Roman" w:cs="Times New Roman"/>
        <w:lang w:eastAsia="fr-FR"/>
      </w:rPr>
      <w:instrText xml:space="preserve"> INCLUDEPICTURE "https://u-paris.fr/wp-content/uploads/2019/12/UniversiteParis_logo_horizontal_couleur_RVB.png" \* MERGEFORMATINET </w:instrText>
    </w:r>
    <w:r w:rsidR="00065C1E" w:rsidRPr="00065C1E">
      <w:rPr>
        <w:rFonts w:ascii="Times New Roman" w:eastAsia="Times New Roman" w:hAnsi="Times New Roman" w:cs="Times New Roman"/>
        <w:lang w:eastAsia="fr-FR"/>
      </w:rPr>
      <w:fldChar w:fldCharType="separate"/>
    </w:r>
    <w:r w:rsidR="00065C1E" w:rsidRPr="00065C1E">
      <w:rPr>
        <w:rFonts w:ascii="Times New Roman" w:eastAsia="Times New Roman" w:hAnsi="Times New Roman" w:cs="Times New Roman"/>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549"/>
    <w:multiLevelType w:val="hybridMultilevel"/>
    <w:tmpl w:val="4F24A1F4"/>
    <w:lvl w:ilvl="0" w:tplc="D9483E24">
      <w:start w:val="2007"/>
      <w:numFmt w:val="bullet"/>
      <w:lvlText w:val="-"/>
      <w:lvlJc w:val="left"/>
      <w:pPr>
        <w:ind w:left="450" w:hanging="360"/>
      </w:pPr>
      <w:rPr>
        <w:rFonts w:ascii="Arial" w:eastAsia="Times New Roman" w:hAnsi="Arial" w:cs="Arial" w:hint="default"/>
        <w:w w:val="106"/>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15:restartNumberingAfterBreak="0">
    <w:nsid w:val="1E4E473D"/>
    <w:multiLevelType w:val="hybridMultilevel"/>
    <w:tmpl w:val="611010E8"/>
    <w:lvl w:ilvl="0" w:tplc="F5AA0392">
      <w:start w:val="3"/>
      <w:numFmt w:val="bullet"/>
      <w:lvlText w:val="-"/>
      <w:lvlJc w:val="left"/>
      <w:pPr>
        <w:ind w:left="720" w:hanging="360"/>
      </w:pPr>
      <w:rPr>
        <w:rFonts w:ascii="Cambria" w:eastAsia="Times New Roman" w:hAnsi="Cambri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A5A27"/>
    <w:multiLevelType w:val="hybridMultilevel"/>
    <w:tmpl w:val="9508E3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B95C0C"/>
    <w:multiLevelType w:val="multilevel"/>
    <w:tmpl w:val="1E76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24A8A"/>
    <w:multiLevelType w:val="multilevel"/>
    <w:tmpl w:val="97D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D3219"/>
    <w:multiLevelType w:val="hybridMultilevel"/>
    <w:tmpl w:val="AA169FC4"/>
    <w:lvl w:ilvl="0" w:tplc="86D400CA">
      <w:start w:val="3"/>
      <w:numFmt w:val="bullet"/>
      <w:lvlText w:val="-"/>
      <w:lvlJc w:val="left"/>
      <w:pPr>
        <w:ind w:left="450" w:hanging="360"/>
      </w:pPr>
      <w:rPr>
        <w:rFonts w:ascii="Cambria" w:eastAsia="Times New Roman" w:hAnsi="Cambria" w:cstheme="majorHAns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6" w15:restartNumberingAfterBreak="0">
    <w:nsid w:val="6C2F163D"/>
    <w:multiLevelType w:val="hybridMultilevel"/>
    <w:tmpl w:val="B720C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CA3CFF"/>
    <w:multiLevelType w:val="multilevel"/>
    <w:tmpl w:val="61D8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A015F"/>
    <w:multiLevelType w:val="multilevel"/>
    <w:tmpl w:val="77E6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7"/>
  </w:num>
  <w:num w:numId="5">
    <w:abstractNumId w:val="3"/>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41"/>
    <w:rsid w:val="00065C1E"/>
    <w:rsid w:val="000A3A49"/>
    <w:rsid w:val="000B7E77"/>
    <w:rsid w:val="001039DA"/>
    <w:rsid w:val="001503D5"/>
    <w:rsid w:val="001A4E28"/>
    <w:rsid w:val="00227E84"/>
    <w:rsid w:val="00230B60"/>
    <w:rsid w:val="002735A9"/>
    <w:rsid w:val="002F7060"/>
    <w:rsid w:val="00393718"/>
    <w:rsid w:val="004100C9"/>
    <w:rsid w:val="00507290"/>
    <w:rsid w:val="0053242B"/>
    <w:rsid w:val="0054604D"/>
    <w:rsid w:val="005C137A"/>
    <w:rsid w:val="005E524F"/>
    <w:rsid w:val="00630E21"/>
    <w:rsid w:val="006349A6"/>
    <w:rsid w:val="00675E3A"/>
    <w:rsid w:val="00702C06"/>
    <w:rsid w:val="00735644"/>
    <w:rsid w:val="00776A03"/>
    <w:rsid w:val="007F49C4"/>
    <w:rsid w:val="007F6B36"/>
    <w:rsid w:val="00880993"/>
    <w:rsid w:val="008A66B8"/>
    <w:rsid w:val="008C0A16"/>
    <w:rsid w:val="00961277"/>
    <w:rsid w:val="009C703A"/>
    <w:rsid w:val="00A56EFE"/>
    <w:rsid w:val="00A742D6"/>
    <w:rsid w:val="00AF758C"/>
    <w:rsid w:val="00B05B24"/>
    <w:rsid w:val="00BB1526"/>
    <w:rsid w:val="00C430A2"/>
    <w:rsid w:val="00C66B7C"/>
    <w:rsid w:val="00DF7DE3"/>
    <w:rsid w:val="00E06657"/>
    <w:rsid w:val="00E15576"/>
    <w:rsid w:val="00E32641"/>
    <w:rsid w:val="00E51BA8"/>
    <w:rsid w:val="00F3601A"/>
    <w:rsid w:val="00F70B07"/>
    <w:rsid w:val="00F76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4E979"/>
  <w15:chartTrackingRefBased/>
  <w15:docId w15:val="{0249C96A-8105-394B-8AF7-9645FD11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641"/>
    <w:pPr>
      <w:tabs>
        <w:tab w:val="center" w:pos="4536"/>
        <w:tab w:val="right" w:pos="9072"/>
      </w:tabs>
    </w:pPr>
  </w:style>
  <w:style w:type="character" w:customStyle="1" w:styleId="En-tteCar">
    <w:name w:val="En-tête Car"/>
    <w:basedOn w:val="Policepardfaut"/>
    <w:link w:val="En-tte"/>
    <w:uiPriority w:val="99"/>
    <w:rsid w:val="00E32641"/>
  </w:style>
  <w:style w:type="paragraph" w:styleId="Pieddepage">
    <w:name w:val="footer"/>
    <w:basedOn w:val="Normal"/>
    <w:link w:val="PieddepageCar"/>
    <w:uiPriority w:val="99"/>
    <w:unhideWhenUsed/>
    <w:rsid w:val="00E32641"/>
    <w:pPr>
      <w:tabs>
        <w:tab w:val="center" w:pos="4536"/>
        <w:tab w:val="right" w:pos="9072"/>
      </w:tabs>
    </w:pPr>
  </w:style>
  <w:style w:type="character" w:customStyle="1" w:styleId="PieddepageCar">
    <w:name w:val="Pied de page Car"/>
    <w:basedOn w:val="Policepardfaut"/>
    <w:link w:val="Pieddepage"/>
    <w:uiPriority w:val="99"/>
    <w:rsid w:val="00E32641"/>
  </w:style>
  <w:style w:type="character" w:styleId="Lienhypertexte">
    <w:name w:val="Hyperlink"/>
    <w:basedOn w:val="Policepardfaut"/>
    <w:uiPriority w:val="99"/>
    <w:unhideWhenUsed/>
    <w:rsid w:val="00E32641"/>
    <w:rPr>
      <w:color w:val="0563C1" w:themeColor="hyperlink"/>
      <w:u w:val="single"/>
    </w:rPr>
  </w:style>
  <w:style w:type="character" w:customStyle="1" w:styleId="UnresolvedMention">
    <w:name w:val="Unresolved Mention"/>
    <w:basedOn w:val="Policepardfaut"/>
    <w:uiPriority w:val="99"/>
    <w:semiHidden/>
    <w:unhideWhenUsed/>
    <w:rsid w:val="00E32641"/>
    <w:rPr>
      <w:color w:val="605E5C"/>
      <w:shd w:val="clear" w:color="auto" w:fill="E1DFDD"/>
    </w:rPr>
  </w:style>
  <w:style w:type="paragraph" w:styleId="PrformatHTML">
    <w:name w:val="HTML Preformatted"/>
    <w:basedOn w:val="Normal"/>
    <w:link w:val="PrformatHTMLCar"/>
    <w:uiPriority w:val="99"/>
    <w:unhideWhenUsed/>
    <w:rsid w:val="00E3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32641"/>
    <w:rPr>
      <w:rFonts w:ascii="Courier New" w:eastAsia="Times New Roman" w:hAnsi="Courier New" w:cs="Courier New"/>
      <w:sz w:val="20"/>
      <w:szCs w:val="20"/>
      <w:lang w:eastAsia="fr-FR"/>
    </w:rPr>
  </w:style>
  <w:style w:type="paragraph" w:styleId="Paragraphedeliste">
    <w:name w:val="List Paragraph"/>
    <w:aliases w:val="description"/>
    <w:basedOn w:val="Normal"/>
    <w:uiPriority w:val="34"/>
    <w:qFormat/>
    <w:rsid w:val="00E32641"/>
    <w:pPr>
      <w:widowControl w:val="0"/>
      <w:spacing w:after="200" w:line="276" w:lineRule="auto"/>
      <w:ind w:left="720"/>
      <w:contextualSpacing/>
    </w:pPr>
    <w:rPr>
      <w:sz w:val="22"/>
      <w:szCs w:val="22"/>
      <w:lang w:val="en-US"/>
    </w:rPr>
  </w:style>
  <w:style w:type="character" w:styleId="Accentuation">
    <w:name w:val="Emphasis"/>
    <w:basedOn w:val="Policepardfaut"/>
    <w:uiPriority w:val="20"/>
    <w:qFormat/>
    <w:rsid w:val="00880993"/>
    <w:rPr>
      <w:i/>
      <w:iCs/>
    </w:rPr>
  </w:style>
  <w:style w:type="table" w:styleId="Grilledutableau">
    <w:name w:val="Table Grid"/>
    <w:basedOn w:val="TableauNormal"/>
    <w:uiPriority w:val="59"/>
    <w:rsid w:val="00880993"/>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0993"/>
    <w:pPr>
      <w:spacing w:before="100" w:beforeAutospacing="1" w:after="100" w:afterAutospacing="1"/>
    </w:pPr>
    <w:rPr>
      <w:rFonts w:ascii="Times New Roman" w:eastAsia="Times New Roman" w:hAnsi="Times New Roman" w:cs="Times New Roman"/>
      <w:lang w:val="en-AU" w:eastAsia="en-AU"/>
    </w:rPr>
  </w:style>
  <w:style w:type="paragraph" w:customStyle="1" w:styleId="Default">
    <w:name w:val="Default"/>
    <w:rsid w:val="00A742D6"/>
    <w:pPr>
      <w:widowControl w:val="0"/>
      <w:autoSpaceDE w:val="0"/>
      <w:autoSpaceDN w:val="0"/>
      <w:adjustRightInd w:val="0"/>
    </w:pPr>
    <w:rPr>
      <w:rFonts w:ascii="Arabic Typesetting" w:eastAsiaTheme="minorEastAsia" w:hAnsi="Arabic Typesetting" w:cs="Arabic Typesetting"/>
      <w:color w:val="000000"/>
      <w:lang w:val="en-US"/>
    </w:rPr>
  </w:style>
  <w:style w:type="paragraph" w:styleId="Notedebasdepage">
    <w:name w:val="footnote text"/>
    <w:basedOn w:val="Normal"/>
    <w:link w:val="NotedebasdepageCar"/>
    <w:uiPriority w:val="99"/>
    <w:semiHidden/>
    <w:unhideWhenUsed/>
    <w:rsid w:val="00AF758C"/>
    <w:rPr>
      <w:sz w:val="20"/>
      <w:szCs w:val="20"/>
    </w:rPr>
  </w:style>
  <w:style w:type="character" w:customStyle="1" w:styleId="NotedebasdepageCar">
    <w:name w:val="Note de bas de page Car"/>
    <w:basedOn w:val="Policepardfaut"/>
    <w:link w:val="Notedebasdepage"/>
    <w:uiPriority w:val="99"/>
    <w:semiHidden/>
    <w:rsid w:val="00AF758C"/>
    <w:rPr>
      <w:sz w:val="20"/>
      <w:szCs w:val="20"/>
    </w:rPr>
  </w:style>
  <w:style w:type="character" w:styleId="Appelnotedebasdep">
    <w:name w:val="footnote reference"/>
    <w:basedOn w:val="Policepardfaut"/>
    <w:uiPriority w:val="99"/>
    <w:semiHidden/>
    <w:unhideWhenUsed/>
    <w:rsid w:val="00AF7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3256</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Clarenc</dc:creator>
  <cp:keywords/>
  <dc:description/>
  <cp:lastModifiedBy>Florence Balmette Duffort</cp:lastModifiedBy>
  <cp:revision>2</cp:revision>
  <dcterms:created xsi:type="dcterms:W3CDTF">2023-09-12T06:59:00Z</dcterms:created>
  <dcterms:modified xsi:type="dcterms:W3CDTF">2023-09-12T06:59:00Z</dcterms:modified>
</cp:coreProperties>
</file>